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青州市教体局2022年政府信息公开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ind w:firstLine="645"/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根据《中华人民共和国政府信息公开条例》要求，编制本报告并向社会公开。本报告所列数据的统计时限自202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年1月1日至202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年12月31日。公众如需进一步咨询了解相关信息，请与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青州市教育和体育局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联系（地址：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青州市驼山南路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4398号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，电话：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0536-3232168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）。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本年度报告电子版可从青州市人民政府门户网站“中国·青州”（http://www.qingzhou.gov.cn/ ）“政务公开”专栏查阅或下载。公众如需进一步咨询了解相关信息，请与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  <w:lang w:eastAsia="zh-CN"/>
        </w:rPr>
        <w:t>青州市教育和体育局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联系（地址：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  <w:lang w:eastAsia="zh-CN"/>
        </w:rPr>
        <w:t>青州市驼山南路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  <w:lang w:val="en-US" w:eastAsia="zh-CN"/>
        </w:rPr>
        <w:t>4398号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，电话：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  <w:lang w:val="en-US" w:eastAsia="zh-CN"/>
        </w:rPr>
        <w:t>0536-3232168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）。</w:t>
      </w:r>
    </w:p>
    <w:p>
      <w:pPr>
        <w:ind w:firstLine="645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一、总体情况</w:t>
      </w:r>
    </w:p>
    <w:p>
      <w:pPr>
        <w:ind w:firstLine="645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（一）主动公开情况</w:t>
      </w:r>
    </w:p>
    <w:p>
      <w:pPr>
        <w:ind w:firstLine="645"/>
        <w:rPr>
          <w:rFonts w:hint="eastAsia" w:ascii="仿宋_GB2312" w:hAnsi="微软雅黑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年，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市教体局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全面做好政务信息主动公开相关工作，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通过市政府网站主动公开专栏信息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135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条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Times New Roman"/>
          <w:color w:val="auto"/>
          <w:kern w:val="0"/>
          <w:sz w:val="32"/>
          <w:szCs w:val="32"/>
          <w:lang w:val="en-US" w:eastAsia="zh-CN" w:bidi="ar"/>
        </w:rPr>
        <w:t>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推进财政预决算、公共资源配置、重大建设项目批准和实施、社会公益事业建设等领域信息公开工作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。</w:t>
      </w:r>
    </w:p>
    <w:p>
      <w:pPr>
        <w:ind w:firstLine="645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（二）依申请公开情况</w:t>
      </w:r>
    </w:p>
    <w:p>
      <w:pPr>
        <w:ind w:firstLine="645"/>
        <w:rPr>
          <w:rFonts w:hint="default" w:ascii="仿宋_GB2312" w:hAnsi="微软雅黑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市教体局202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年收到政府信息公开申请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件，已按照规定受理、答复。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处理数量与去年持平。</w:t>
      </w:r>
    </w:p>
    <w:p>
      <w:pPr>
        <w:ind w:firstLine="645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（三）政府信息管理情况</w:t>
      </w:r>
    </w:p>
    <w:p>
      <w:pPr>
        <w:ind w:firstLine="645"/>
        <w:rPr>
          <w:rFonts w:hint="eastAsia" w:ascii="仿宋_GB2312" w:hAnsi="微软雅黑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市教体按照上级要求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规范政府网站信息发布审批程序，全面做好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规范性文件管理、政府信息公开保密审查制度和落实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工作。</w:t>
      </w:r>
    </w:p>
    <w:p>
      <w:pPr>
        <w:ind w:firstLine="645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（四）政府信息公开平台建设情况</w:t>
      </w:r>
    </w:p>
    <w:p>
      <w:pPr>
        <w:spacing w:line="560" w:lineRule="exact"/>
        <w:ind w:firstLine="640" w:firstLineChars="200"/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加强政府信息公开平台建设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</w:rPr>
        <w:t>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网站集约化建设、网站专栏设置和内容维护，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确保群众知情权。</w:t>
      </w:r>
    </w:p>
    <w:p>
      <w:pPr>
        <w:ind w:firstLine="645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（五）监督保障情况</w:t>
      </w:r>
    </w:p>
    <w:p>
      <w:pPr>
        <w:ind w:firstLine="645"/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做好体制机构建设，成立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政务公开工作领导小组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,积极开展政务公开相关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培训，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eastAsia="zh-CN"/>
        </w:rPr>
        <w:t>确保信息准确性和时效性。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color w:val="auto"/>
        </w:rPr>
        <w:drawing>
          <wp:inline distT="0" distB="0" distL="114300" distR="114300">
            <wp:extent cx="4177665" cy="3856990"/>
            <wp:effectExtent l="0" t="0" r="1333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7665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收到和处理政府信息公开申请情况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4600575" cy="595312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2"/>
        </w:numPr>
        <w:ind w:left="0" w:leftChars="0" w:firstLine="0" w:firstLineChars="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政府信息公开行政复议、行政诉讼情况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drawing>
          <wp:inline distT="0" distB="0" distL="114300" distR="114300">
            <wp:extent cx="4705350" cy="14192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</w:rPr>
        <w:t>（一）202</w:t>
      </w: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</w:rPr>
        <w:t>年问题整改情况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55"/>
        <w:jc w:val="both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一是加强政府信息公开对应宣传力度，通过公众号、头条号等多种方式加强宣传力度；二是加强重点领域的公开程度，迎合公众期待，加大群众政务公开参与度，提升服务质量。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</w:rPr>
        <w:t>（二）202</w:t>
      </w: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</w:rPr>
        <w:t>年存在的主要问题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55"/>
        <w:jc w:val="both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一是其他科室部分同志对政务公开工作了解不够；二是有的政务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信息公开不够及时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</w:rPr>
        <w:t>（三）整改措施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655"/>
        <w:jc w:val="both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一是加强政务公开培训，提升教体系统政务公开服务水平；二是加强对政务公开工作的领导和监督，层层落实责任，定期督查通报，确保把政务公开工作落到实处。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本部分主要报告本行政机关认为需要报告的其他事项，包括但不限于：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</w:rPr>
        <w:t>收取信息处理费的情况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年度，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青州市教体局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严格执行《政府信息公开信息处理费管理办法》，未收取信息处理费。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  <w:lang w:eastAsia="zh-CN"/>
        </w:rPr>
        <w:t>）人大代表建议和政协提案办理结果公开情况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年青州市教育和体育局收到的人大代表建议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、政协提案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4件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，答复满意率100%，吸收采纳率100%。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宋体"/>
          <w:bCs/>
          <w:color w:val="auto"/>
          <w:kern w:val="0"/>
          <w:sz w:val="32"/>
          <w:szCs w:val="32"/>
          <w:lang w:eastAsia="zh-CN"/>
        </w:rPr>
        <w:t>）本行政机关年度政务公开工作创新情况</w:t>
      </w:r>
    </w:p>
    <w:p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2022年来，青州市教体局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依托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中国青州政府官方网站，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线上线下相结合，创新宣传形式，探索推进“互联网+政务服务”平台建设，及时发布政务信息，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真正将各项政务信息公开工作做真、做实、做细，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提高群众对政务信息的知晓率及接受率。</w:t>
      </w:r>
    </w:p>
    <w:p>
      <w:pPr>
        <w:widowControl/>
        <w:shd w:val="clear" w:color="auto" w:fill="FFFFFF"/>
        <w:ind w:firstLine="630"/>
        <w:jc w:val="left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widowControl/>
        <w:shd w:val="clear" w:color="auto" w:fill="FFFFFF"/>
        <w:jc w:val="left"/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 xml:space="preserve">                                   </w:t>
      </w:r>
    </w:p>
    <w:p>
      <w:pPr>
        <w:widowControl/>
        <w:shd w:val="clear" w:color="auto" w:fill="FFFFFF"/>
        <w:jc w:val="righ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青州市教育和体育局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2023年1月18日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1869B3"/>
    <w:multiLevelType w:val="singleLevel"/>
    <w:tmpl w:val="411869B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1ACDE7"/>
    <w:multiLevelType w:val="singleLevel"/>
    <w:tmpl w:val="771ACD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NDI2OGRjN2VkY2Q1YjIyYWI1YmVlOGJmMDA4ODQifQ=="/>
  </w:docVars>
  <w:rsids>
    <w:rsidRoot w:val="11AF18C8"/>
    <w:rsid w:val="01D925AF"/>
    <w:rsid w:val="08B57B6C"/>
    <w:rsid w:val="106B51E8"/>
    <w:rsid w:val="11AF18C8"/>
    <w:rsid w:val="15A07AD1"/>
    <w:rsid w:val="1A6A77C7"/>
    <w:rsid w:val="3DE411BF"/>
    <w:rsid w:val="43B92C85"/>
    <w:rsid w:val="521B3C00"/>
    <w:rsid w:val="591417C6"/>
    <w:rsid w:val="5FD55774"/>
    <w:rsid w:val="62281F56"/>
    <w:rsid w:val="77181135"/>
    <w:rsid w:val="78F0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1134</Words>
  <Characters>1232</Characters>
  <Lines>0</Lines>
  <Paragraphs>0</Paragraphs>
  <TotalTime>75</TotalTime>
  <ScaleCrop>false</ScaleCrop>
  <LinksUpToDate>false</LinksUpToDate>
  <CharactersWithSpaces>1268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2023-01-16T07:45:00Z</dcterms:created>
  <dc:creator>诗人与熊</dc:creator>
  <cp:lastModifiedBy>WPS_1656744013</cp:lastModifiedBy>
  <cp:lastPrinted>2023-01-16T09:08:00Z</cp:lastPrinted>
  <dcterms:modified xsi:type="dcterms:W3CDTF">2023-01-30T09:34:07Z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6B32E6DD202D416DB6973A1DD5595BBA</vt:lpwstr>
  </property>
</Properties>
</file>