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84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青州市司法局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</w:t>
      </w:r>
    </w:p>
    <w:p w14:paraId="3F7BB7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4F0E89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04C903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报告根据《中华人民共和国政府信息公开条例》（国务院令第711号，以下简称《条例》）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年1月1日到202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 w14:paraId="2C4597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3E19AF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2024年，市司法局坚持以习近平新时代中国特色社会主义思想为指导，深入学习贯彻党的二十大精神，认真贯彻执行《中华人民共和国政府信息公开条例》和各级部署要求，结合司法行政工作实际，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坚持“应公开、尽公开”原则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，积极推进政府信息公开工作取得新成效。</w:t>
      </w:r>
    </w:p>
    <w:p w14:paraId="04DF2E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1.主动公开方面。2024</w:t>
      </w:r>
      <w:r>
        <w:rPr>
          <w:rFonts w:hint="eastAsia" w:ascii="仿宋_GB2312" w:eastAsia="仿宋_GB2312"/>
          <w:color w:val="auto"/>
          <w:sz w:val="32"/>
          <w:szCs w:val="32"/>
        </w:rPr>
        <w:t>年，市司法局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严格按照上级部署要求，政府信息公开及时、准确。全年</w:t>
      </w:r>
      <w:r>
        <w:rPr>
          <w:rFonts w:hint="eastAsia" w:ascii="仿宋_GB2312" w:eastAsia="仿宋_GB2312"/>
          <w:color w:val="auto"/>
          <w:sz w:val="32"/>
          <w:szCs w:val="32"/>
        </w:rPr>
        <w:t>主动公开政府信息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通过政府信息公开专栏主动公开政府信息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color w:val="auto"/>
          <w:sz w:val="32"/>
          <w:szCs w:val="32"/>
        </w:rPr>
        <w:t>条，通过微信公众号公开政府信息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  <w:szCs w:val="32"/>
        </w:rPr>
        <w:t>条。其中,机构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简介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条，政策文件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政策解读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部门财政预决算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行政执法公示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条，</w:t>
      </w:r>
      <w:r>
        <w:rPr>
          <w:rFonts w:hint="eastAsia" w:ascii="仿宋_GB2312" w:eastAsia="仿宋_GB2312"/>
          <w:color w:val="auto"/>
          <w:sz w:val="32"/>
          <w:szCs w:val="32"/>
        </w:rPr>
        <w:t>建议提案办理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条，通知公告公示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条，业务信息及其他类信息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，及时回应了社会关切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123C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2.依申请公开工作方面。</w:t>
      </w:r>
      <w:r>
        <w:rPr>
          <w:rFonts w:hint="eastAsia" w:ascii="仿宋_GB2312" w:eastAsia="仿宋_GB2312"/>
          <w:color w:val="auto"/>
          <w:sz w:val="32"/>
          <w:szCs w:val="32"/>
        </w:rPr>
        <w:t>按照《条例》规定，严格执行政府信息依申请公开登记、审核、办理、答复、归档等内部办理制度，进一步规范答复文书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模版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创新建立依申请公开</w:t>
      </w:r>
      <w:r>
        <w:rPr>
          <w:rFonts w:hint="eastAsia" w:ascii="仿宋_GB2312" w:eastAsia="仿宋_GB2312"/>
          <w:color w:val="auto"/>
          <w:sz w:val="32"/>
          <w:szCs w:val="32"/>
        </w:rPr>
        <w:t>沟通协调交办制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法律顾问审核制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不断提升政府信息依申请公开办理工作质量。全年共受理依申请公开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较上年度增加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auto"/>
          <w:sz w:val="32"/>
          <w:szCs w:val="32"/>
        </w:rPr>
        <w:t>，答复办结率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color w:val="auto"/>
          <w:sz w:val="32"/>
          <w:szCs w:val="32"/>
        </w:rPr>
        <w:t>，没有出现因政府信息公开而引发行政复议或行政诉讼的情况。</w:t>
      </w:r>
    </w:p>
    <w:p w14:paraId="6308E5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3.政府信息管理方面。严格依据各项规范，加强政府信息全生命周期管理，加强组织领导，加大信息审核把关，杜绝涉密涉敏信息的公开。按要求编制政府信息主动公开基本目录，及时更新机构简介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等相关信息，加强规范性文件管理，及时更新规范性文件备案目录和清理结果，确保公开的政府信息更加准确、有效、完整。</w:t>
      </w:r>
    </w:p>
    <w:p w14:paraId="67B3E1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4.平台建设方面。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主要依托青州市人民政府门户网站，充分发挥微信公众号等政务新媒体作用，利用各类宣传节点开展多种形式的宣传活动，及时推送各类法治信息和群众关切的信息。完善政府信息公开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平台,推进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网站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集约化建设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，对“中国·青州”网站和“法治青州”公众号安排专人进行监管和运维，拓宽线上线下公开渠道，确保司法行政公开工作高质高效。</w:t>
      </w:r>
    </w:p>
    <w:p w14:paraId="00F827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5.监督保障方面。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市司法局成立局政务公开领导专班，在局办公室安排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人负责政务信息公开工作，由局办公室对信息公开进行管理监督，并将政务公开经费纳入年度预算予以保障。坚持“先审查、后公开”原则，严格信息审核，分管领导进行把关，确保涉密涉敏信息不公开。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年，市司法局未发生责任追究情况。</w:t>
      </w:r>
    </w:p>
    <w:p w14:paraId="37DF41E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年，市司法局研究建立培训工作常态化机制，组织政务公开培训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次，及时总结交流经验，不断提高相关人员的政策把握能力、舆情研判能力、解疑释惑能力和回应引导能力，提高了局机关工作人员的政务公开业务水平。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 w14:paraId="39FB2E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4C86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579B3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DF5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432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A19D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D0FD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58D1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 w14:paraId="57C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13D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7F24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3A34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FB3BC"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80F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208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941DB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0C5C7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07706"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B53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3179B2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2719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67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E0D0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754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CE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657F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498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37B35B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03F4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21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A38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30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F1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0421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  <w:t>0</w:t>
            </w:r>
          </w:p>
        </w:tc>
      </w:tr>
      <w:tr w14:paraId="4B4E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5E1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98D0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92B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A185C3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62C8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A9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657F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0955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B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8F68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C7FEAE7"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54706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BD1A5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9319E15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EE858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6714E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5A8D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8C86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999C2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03774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0519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D2208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8A0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F0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19D9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D60FA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40B8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8922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6C536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8D9F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ED68B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6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4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73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01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3C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B904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AD4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8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4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7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F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F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C02D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EB702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8B1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B2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A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2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3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F4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8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324B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E2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72D42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3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B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9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C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E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C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8DD0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25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2C9E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EDB9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C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2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2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D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5F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87DC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AC81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7658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D2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D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B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B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D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15C8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C52B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35F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584A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1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A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2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C7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9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416F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0CB2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471A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F494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E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C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5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F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D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9A63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43C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64C3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D48A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2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8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F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19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6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814D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66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A6A1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8E4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A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9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3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B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95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0757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BF5A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1799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F000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7D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D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F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8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D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67B1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0B6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270A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ADB6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F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11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4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5A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E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989C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B28E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A9504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AF94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84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4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3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F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A2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8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80BC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A975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D55CB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514B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A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0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0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8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7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8A56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70B1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B46D8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CCBF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F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C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30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EB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6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B868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DD8B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A2162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60083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9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6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BA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6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8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A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D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B68C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634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0120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2B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7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4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F2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6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893D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A244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192E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7CAF1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96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F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D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6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9EE9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9261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C78C7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0A96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7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E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D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6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7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389D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A91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4D0D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1F63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72BBDAFC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6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4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BB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7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0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A916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57C6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EE5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70C0A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5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5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2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D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51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F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  <w:bookmarkStart w:id="10" w:name="_GoBack"/>
            <w:bookmarkEnd w:id="10"/>
          </w:p>
        </w:tc>
      </w:tr>
      <w:tr w14:paraId="4F41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369F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D0B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3B859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5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70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A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C1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17E1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A67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3CF2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7F595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E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8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F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8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23E8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5B8C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7293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B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1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E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A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7D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7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7E7F1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BB8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B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6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4C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C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E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1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0B05B7A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2E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9C88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FC00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277C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12B5"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结果</w:t>
            </w:r>
          </w:p>
          <w:p w14:paraId="0492CF5A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D51B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934AB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FFA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3806B92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1C1EE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632B2BF3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2601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1443F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1DC62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964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4CBE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8C69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B0C1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5EFB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ED325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571D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1D99D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5F9C30E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6CDF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9699552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A05E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03735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FE448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13646A1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E992F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220C4F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DBCA1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2DF4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7D494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CB74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19FD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DE3C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80AA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A91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6485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6D48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34F7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44AC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EB3A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128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89B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C42F2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8E4D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49B8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2D85E7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46D91EC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年问题整改情况</w:t>
      </w:r>
    </w:p>
    <w:p w14:paraId="36F54A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一是充实公开内容。按照“以公开为原则，不公开为例外”的总体要求，进一步完善主动公开的政府信息目录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并及时公示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；二是健全规章制度。通过规章制度的建立健全，确保政府信息公开工作的制度化、规范化，做到信息公开及时、真实、完整，不断提高政府信息公开工作的质量和水平。</w:t>
      </w:r>
    </w:p>
    <w:p w14:paraId="4294D24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年存在的主要问题</w:t>
      </w:r>
    </w:p>
    <w:p w14:paraId="7FE7497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一是社会公众对政府信息公开尚不完全熟悉，需要进一步加强宣传和引导工作。二是主动公开意识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，业务水平有待提升。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7A11167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宋体" w:hAnsi="宋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 w14:paraId="05244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一是加大普及宣传。充分利用网站、微信公众号等新媒体，加大宣传工作力度，扩大政府信息公开工作的知晓率；二要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政务公开培训，提高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主动公开意识，提升政务公开质量，做到应公开尽公开，为全市做好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信息公开工作贡献司法行政力量。</w:t>
      </w:r>
    </w:p>
    <w:p w14:paraId="3642B2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61B7A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（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Hans"/>
        </w:rPr>
        <w:t>一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）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Hans"/>
        </w:rPr>
        <w:t>依申请公开信息处理费收费情况</w:t>
      </w:r>
    </w:p>
    <w:p w14:paraId="4A4931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年，根据《政府信息公开信息处理费管理办法》，我局无向政府信息公开申请人进行收费的情况。</w:t>
      </w:r>
    </w:p>
    <w:p w14:paraId="1721F31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宋体"/>
          <w:bCs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Hans"/>
        </w:rPr>
        <w:t>本年度建议提案办理情况</w:t>
      </w:r>
    </w:p>
    <w:p w14:paraId="1DCCA7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年，市司法局共承办人大代表建议和政协委员提案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件，其中，人大建议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件，政协提案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件，办理结果满意率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，吸收采纳情况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。</w:t>
      </w:r>
    </w:p>
    <w:p w14:paraId="089FD33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宋体"/>
          <w:bCs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Hans" w:bidi="ar-SA"/>
        </w:rPr>
        <w:t>（三）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highlight w:val="none"/>
          <w:lang w:val="en-US" w:eastAsia="zh-Hans"/>
        </w:rPr>
        <w:t>创新实践情况</w:t>
      </w:r>
    </w:p>
    <w:p w14:paraId="79F554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>市司法局加强政务公开培训，并学习其他司法局创新实践做法，进一步完善公开平台建设，整体提升政务公开能力，做到政务公开信息内容丰富、及时准确，进一步提高了公众知晓率，强化了公众指导监督，确保司法行政公开工作提质增效。</w:t>
      </w:r>
    </w:p>
    <w:p w14:paraId="616E1C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4973AD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BB13E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青州市司法局</w:t>
      </w:r>
    </w:p>
    <w:p w14:paraId="31227B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color w:val="0000FF"/>
          <w:sz w:val="32"/>
          <w:szCs w:val="32"/>
        </w:rPr>
      </w:pPr>
      <w:r>
        <w:rPr>
          <w:rFonts w:hint="eastAsia" w:ascii="宋体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2025年1月13日</w:t>
      </w:r>
    </w:p>
    <w:p w14:paraId="69BE1C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AF18C8"/>
    <w:rsid w:val="00E22F63"/>
    <w:rsid w:val="0103164E"/>
    <w:rsid w:val="010F7F28"/>
    <w:rsid w:val="02D82372"/>
    <w:rsid w:val="05170E00"/>
    <w:rsid w:val="051D2F0D"/>
    <w:rsid w:val="06691F53"/>
    <w:rsid w:val="08DF474E"/>
    <w:rsid w:val="092E5A08"/>
    <w:rsid w:val="09AD65FB"/>
    <w:rsid w:val="0B4461F7"/>
    <w:rsid w:val="0DC14423"/>
    <w:rsid w:val="0DC372A4"/>
    <w:rsid w:val="0E2D58A7"/>
    <w:rsid w:val="0EAB2129"/>
    <w:rsid w:val="0EF26AF6"/>
    <w:rsid w:val="0F546D8C"/>
    <w:rsid w:val="0F726AB7"/>
    <w:rsid w:val="102C368A"/>
    <w:rsid w:val="104B26C9"/>
    <w:rsid w:val="106B51E8"/>
    <w:rsid w:val="108D7E56"/>
    <w:rsid w:val="10C075FA"/>
    <w:rsid w:val="11AF18C8"/>
    <w:rsid w:val="11E04300"/>
    <w:rsid w:val="12C0739F"/>
    <w:rsid w:val="134D0507"/>
    <w:rsid w:val="13833235"/>
    <w:rsid w:val="147811E8"/>
    <w:rsid w:val="14847F58"/>
    <w:rsid w:val="15B735FA"/>
    <w:rsid w:val="16652CFE"/>
    <w:rsid w:val="17757C3C"/>
    <w:rsid w:val="18E86D07"/>
    <w:rsid w:val="193A1008"/>
    <w:rsid w:val="1A6A77C7"/>
    <w:rsid w:val="1BEA0FE8"/>
    <w:rsid w:val="1CC46C4D"/>
    <w:rsid w:val="1D8D2573"/>
    <w:rsid w:val="1DAC0C4B"/>
    <w:rsid w:val="1DBC0763"/>
    <w:rsid w:val="21271C79"/>
    <w:rsid w:val="230E380E"/>
    <w:rsid w:val="23496F3C"/>
    <w:rsid w:val="23E629DD"/>
    <w:rsid w:val="252E1F46"/>
    <w:rsid w:val="25652B73"/>
    <w:rsid w:val="25CB2159"/>
    <w:rsid w:val="26E52AD8"/>
    <w:rsid w:val="27082C6B"/>
    <w:rsid w:val="284304EB"/>
    <w:rsid w:val="2920154E"/>
    <w:rsid w:val="2A1C4276"/>
    <w:rsid w:val="2A32072A"/>
    <w:rsid w:val="2B0F7D39"/>
    <w:rsid w:val="2D66147E"/>
    <w:rsid w:val="2E3031D3"/>
    <w:rsid w:val="2F6D6E2F"/>
    <w:rsid w:val="30110965"/>
    <w:rsid w:val="305232D2"/>
    <w:rsid w:val="30760BA7"/>
    <w:rsid w:val="30C55AD9"/>
    <w:rsid w:val="30F04DDC"/>
    <w:rsid w:val="3122511A"/>
    <w:rsid w:val="31CC2C2C"/>
    <w:rsid w:val="31F247BE"/>
    <w:rsid w:val="32236BAB"/>
    <w:rsid w:val="325C06E3"/>
    <w:rsid w:val="325E096B"/>
    <w:rsid w:val="32676E8E"/>
    <w:rsid w:val="32922545"/>
    <w:rsid w:val="3519182B"/>
    <w:rsid w:val="35BB2732"/>
    <w:rsid w:val="372F12FF"/>
    <w:rsid w:val="37FB444A"/>
    <w:rsid w:val="390532B6"/>
    <w:rsid w:val="39EC23F0"/>
    <w:rsid w:val="3AF37A62"/>
    <w:rsid w:val="3C2D2B00"/>
    <w:rsid w:val="3CC176EC"/>
    <w:rsid w:val="3E027FBC"/>
    <w:rsid w:val="3F064F22"/>
    <w:rsid w:val="3F993190"/>
    <w:rsid w:val="407C22A8"/>
    <w:rsid w:val="41195D48"/>
    <w:rsid w:val="413379BE"/>
    <w:rsid w:val="419763A6"/>
    <w:rsid w:val="434A1A9F"/>
    <w:rsid w:val="43A2087C"/>
    <w:rsid w:val="43D146B8"/>
    <w:rsid w:val="48147269"/>
    <w:rsid w:val="482229EA"/>
    <w:rsid w:val="49904C2F"/>
    <w:rsid w:val="49A07007"/>
    <w:rsid w:val="4A2117CA"/>
    <w:rsid w:val="4C03562B"/>
    <w:rsid w:val="4E3E6DEE"/>
    <w:rsid w:val="4E7F5FBD"/>
    <w:rsid w:val="500D0EC9"/>
    <w:rsid w:val="510319F7"/>
    <w:rsid w:val="51306129"/>
    <w:rsid w:val="5174485D"/>
    <w:rsid w:val="51A451BA"/>
    <w:rsid w:val="52075749"/>
    <w:rsid w:val="521B3C00"/>
    <w:rsid w:val="531760C4"/>
    <w:rsid w:val="548412D3"/>
    <w:rsid w:val="5788719F"/>
    <w:rsid w:val="57FB365A"/>
    <w:rsid w:val="582F1556"/>
    <w:rsid w:val="59910F7B"/>
    <w:rsid w:val="5A126BC2"/>
    <w:rsid w:val="5C930305"/>
    <w:rsid w:val="5CDC2717"/>
    <w:rsid w:val="5E2D1110"/>
    <w:rsid w:val="5E824AD5"/>
    <w:rsid w:val="605204D7"/>
    <w:rsid w:val="606C3347"/>
    <w:rsid w:val="608A5EC3"/>
    <w:rsid w:val="61160D42"/>
    <w:rsid w:val="611B5DD4"/>
    <w:rsid w:val="615C160D"/>
    <w:rsid w:val="622F00B1"/>
    <w:rsid w:val="63B7578D"/>
    <w:rsid w:val="64545FDF"/>
    <w:rsid w:val="64C5571C"/>
    <w:rsid w:val="64E66AAD"/>
    <w:rsid w:val="64EA33D4"/>
    <w:rsid w:val="65B85280"/>
    <w:rsid w:val="662714BD"/>
    <w:rsid w:val="66754F1F"/>
    <w:rsid w:val="6A9A08E2"/>
    <w:rsid w:val="6B7852CF"/>
    <w:rsid w:val="6C1F7998"/>
    <w:rsid w:val="6CBF7797"/>
    <w:rsid w:val="6DE74955"/>
    <w:rsid w:val="6E97636A"/>
    <w:rsid w:val="6EEA6F87"/>
    <w:rsid w:val="6EF2361A"/>
    <w:rsid w:val="6F125A01"/>
    <w:rsid w:val="6F4E204B"/>
    <w:rsid w:val="71125845"/>
    <w:rsid w:val="717B788E"/>
    <w:rsid w:val="724C3A9C"/>
    <w:rsid w:val="74130AE8"/>
    <w:rsid w:val="75B23626"/>
    <w:rsid w:val="770F2826"/>
    <w:rsid w:val="77181135"/>
    <w:rsid w:val="78A91184"/>
    <w:rsid w:val="78F03041"/>
    <w:rsid w:val="790243F1"/>
    <w:rsid w:val="7BA447AB"/>
    <w:rsid w:val="7C3F3BAE"/>
    <w:rsid w:val="7C8D1210"/>
    <w:rsid w:val="7D214386"/>
    <w:rsid w:val="7DC643EC"/>
    <w:rsid w:val="7E712A25"/>
    <w:rsid w:val="7EB73ECF"/>
    <w:rsid w:val="7ED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2741</Words>
  <Characters>2827</Characters>
  <Lines>1</Lines>
  <Paragraphs>1</Paragraphs>
  <TotalTime>48</TotalTime>
  <ScaleCrop>false</ScaleCrop>
  <LinksUpToDate>false</LinksUpToDate>
  <CharactersWithSpaces>2836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离陌</cp:lastModifiedBy>
  <cp:lastPrinted>2025-01-06T00:30:00Z</cp:lastPrinted>
  <dcterms:modified xsi:type="dcterms:W3CDTF">2025-01-15T01:37:02Z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6B32E6DD202D416DB6973A1DD5595BBA</vt:lpwstr>
  </property>
  <property fmtid="{D5CDD505-2E9C-101B-9397-08002B2CF9AE}" pid="4" name="KSOTemplateDocerSaveRecord">
    <vt:lpwstr>eyJoZGlkIjoiNDRlYjgyNmUxNjY1NGEyMzk0ZjY5Nzc5ZmMyOTczYWMiLCJ1c2VySWQiOiI1MTA5MzIzNTYifQ==</vt:lpwstr>
  </property>
</Properties>
</file>