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3642"/>
        </w:tabs>
        <w:kinsoku/>
        <w:wordWrap/>
        <w:overflowPunct w:val="0"/>
        <w:topLinePunct w:val="0"/>
        <w:autoSpaceDE/>
        <w:autoSpaceDN/>
        <w:bidi w:val="0"/>
        <w:adjustRightInd/>
        <w:snapToGrid/>
        <w:spacing w:line="560" w:lineRule="exact"/>
        <w:jc w:val="center"/>
        <w:textAlignment w:val="auto"/>
        <w:rPr>
          <w:rFonts w:hint="eastAsia" w:ascii="文星标宋" w:eastAsia="文星标宋"/>
          <w:sz w:val="44"/>
          <w:szCs w:val="44"/>
        </w:rPr>
      </w:pPr>
      <w:bookmarkStart w:id="0" w:name="_GoBack"/>
      <w:bookmarkEnd w:id="0"/>
      <w:r>
        <w:rPr>
          <w:rFonts w:hint="eastAsia" w:ascii="文星标宋" w:eastAsia="文星标宋"/>
          <w:sz w:val="44"/>
          <w:szCs w:val="44"/>
        </w:rPr>
        <w:t>青州市人民政府</w:t>
      </w:r>
    </w:p>
    <w:p>
      <w:pPr>
        <w:keepNext w:val="0"/>
        <w:keepLines w:val="0"/>
        <w:pageBreakBefore w:val="0"/>
        <w:widowControl w:val="0"/>
        <w:tabs>
          <w:tab w:val="left" w:pos="3642"/>
        </w:tabs>
        <w:kinsoku/>
        <w:wordWrap/>
        <w:overflowPunct w:val="0"/>
        <w:topLinePunct w:val="0"/>
        <w:autoSpaceDE/>
        <w:autoSpaceDN/>
        <w:bidi w:val="0"/>
        <w:adjustRightInd/>
        <w:snapToGrid/>
        <w:spacing w:line="560" w:lineRule="exact"/>
        <w:jc w:val="center"/>
        <w:textAlignment w:val="auto"/>
        <w:rPr>
          <w:rFonts w:hint="eastAsia" w:ascii="文星标宋" w:eastAsia="文星标宋"/>
          <w:sz w:val="44"/>
          <w:szCs w:val="44"/>
          <w:lang w:val="en-US" w:eastAsia="zh-CN"/>
        </w:rPr>
      </w:pPr>
      <w:r>
        <w:rPr>
          <w:rFonts w:hint="eastAsia" w:ascii="文星标宋" w:eastAsia="文星标宋"/>
          <w:sz w:val="44"/>
          <w:szCs w:val="44"/>
          <w:lang w:val="en-US" w:eastAsia="zh-CN"/>
        </w:rPr>
        <w:t>关于下达青州市2022年国民经济和</w:t>
      </w:r>
    </w:p>
    <w:p>
      <w:pPr>
        <w:keepNext w:val="0"/>
        <w:keepLines w:val="0"/>
        <w:pageBreakBefore w:val="0"/>
        <w:widowControl w:val="0"/>
        <w:tabs>
          <w:tab w:val="left" w:pos="3642"/>
        </w:tabs>
        <w:kinsoku/>
        <w:wordWrap/>
        <w:overflowPunct w:val="0"/>
        <w:topLinePunct w:val="0"/>
        <w:autoSpaceDE/>
        <w:autoSpaceDN/>
        <w:bidi w:val="0"/>
        <w:adjustRightInd/>
        <w:snapToGrid/>
        <w:spacing w:line="560" w:lineRule="exact"/>
        <w:jc w:val="center"/>
        <w:textAlignment w:val="auto"/>
        <w:rPr>
          <w:rFonts w:hint="eastAsia" w:ascii="文星标宋" w:eastAsia="文星标宋"/>
          <w:sz w:val="44"/>
          <w:szCs w:val="44"/>
          <w:lang w:val="en-US" w:eastAsia="zh-CN"/>
        </w:rPr>
      </w:pPr>
      <w:r>
        <w:rPr>
          <w:rFonts w:hint="eastAsia" w:ascii="文星标宋" w:eastAsia="文星标宋"/>
          <w:sz w:val="44"/>
          <w:szCs w:val="44"/>
          <w:lang w:val="en-US" w:eastAsia="zh-CN"/>
        </w:rPr>
        <w:t>社会发展计划</w:t>
      </w:r>
      <w:r>
        <w:rPr>
          <w:rFonts w:hint="eastAsia" w:ascii="文星标宋" w:eastAsia="文星标宋"/>
          <w:sz w:val="44"/>
          <w:szCs w:val="44"/>
        </w:rPr>
        <w:t>的</w:t>
      </w:r>
      <w:r>
        <w:rPr>
          <w:rFonts w:hint="eastAsia" w:ascii="文星标宋" w:eastAsia="文星标宋"/>
          <w:sz w:val="44"/>
          <w:szCs w:val="44"/>
          <w:lang w:val="en-US" w:eastAsia="zh-CN"/>
        </w:rPr>
        <w:t>通知</w:t>
      </w:r>
    </w:p>
    <w:p>
      <w:pPr>
        <w:keepNext w:val="0"/>
        <w:keepLines w:val="0"/>
        <w:pageBreakBefore w:val="0"/>
        <w:widowControl w:val="0"/>
        <w:tabs>
          <w:tab w:val="left" w:pos="3642"/>
        </w:tabs>
        <w:kinsoku/>
        <w:wordWrap/>
        <w:overflowPunct w:val="0"/>
        <w:topLinePunct w:val="0"/>
        <w:autoSpaceDE/>
        <w:autoSpaceDN/>
        <w:bidi w:val="0"/>
        <w:adjustRightInd/>
        <w:snapToGrid/>
        <w:spacing w:line="550" w:lineRule="exact"/>
        <w:jc w:val="center"/>
        <w:textAlignment w:val="auto"/>
        <w:rPr>
          <w:rFonts w:hint="eastAsia" w:ascii="文星标宋" w:eastAsia="文星标宋"/>
          <w:sz w:val="44"/>
          <w:szCs w:val="44"/>
          <w:lang w:val="en-US" w:eastAsia="zh-CN"/>
        </w:rPr>
      </w:pPr>
    </w:p>
    <w:p>
      <w:pPr>
        <w:keepNext w:val="0"/>
        <w:keepLines w:val="0"/>
        <w:pageBreakBefore w:val="0"/>
        <w:kinsoku/>
        <w:topLinePunct w:val="0"/>
        <w:autoSpaceDE/>
        <w:autoSpaceDN/>
        <w:bidi w:val="0"/>
        <w:adjustRightInd/>
        <w:snapToGrid/>
        <w:spacing w:line="55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各镇（街道）人民政府（办事处），市属开发区、发展区，市委各部委，市政府各部门，各人民团体，青州市人武部，市属各国有企业，上属驻青单位：</w:t>
      </w:r>
    </w:p>
    <w:p>
      <w:pPr>
        <w:keepNext w:val="0"/>
        <w:keepLines w:val="0"/>
        <w:pageBreakBefore w:val="0"/>
        <w:widowControl/>
        <w:kinsoku/>
        <w:overflowPunct w:val="0"/>
        <w:topLinePunct w:val="0"/>
        <w:autoSpaceDE/>
        <w:autoSpaceDN/>
        <w:bidi w:val="0"/>
        <w:adjustRightInd/>
        <w:snapToGrid/>
        <w:spacing w:line="550" w:lineRule="exact"/>
        <w:ind w:right="-227" w:rightChars="-71" w:firstLine="616" w:firstLineChars="200"/>
        <w:textAlignment w:val="auto"/>
        <w:rPr>
          <w:rFonts w:hint="eastAsia" w:ascii="仿宋_GB2312" w:hAnsi="仿宋_GB2312" w:eastAsia="仿宋_GB2312" w:cs="仿宋_GB2312"/>
          <w:spacing w:val="-6"/>
          <w:szCs w:val="32"/>
        </w:rPr>
      </w:pPr>
      <w:r>
        <w:rPr>
          <w:rFonts w:hint="eastAsia" w:ascii="仿宋_GB2312" w:hAnsi="仿宋_GB2312" w:eastAsia="仿宋_GB2312" w:cs="仿宋_GB2312"/>
          <w:spacing w:val="-6"/>
          <w:sz w:val="32"/>
          <w:szCs w:val="32"/>
        </w:rPr>
        <w:t>《青州市20</w:t>
      </w:r>
      <w:r>
        <w:rPr>
          <w:rFonts w:hint="eastAsia" w:ascii="仿宋_GB2312" w:hAnsi="仿宋_GB2312" w:eastAsia="仿宋_GB2312" w:cs="仿宋_GB2312"/>
          <w:spacing w:val="-6"/>
          <w:sz w:val="32"/>
          <w:szCs w:val="32"/>
          <w:lang w:val="en-US" w:eastAsia="zh-CN"/>
        </w:rPr>
        <w:t>22</w:t>
      </w:r>
      <w:r>
        <w:rPr>
          <w:rFonts w:hint="eastAsia" w:ascii="仿宋_GB2312" w:hAnsi="仿宋_GB2312" w:eastAsia="仿宋_GB2312" w:cs="仿宋_GB2312"/>
          <w:spacing w:val="-6"/>
          <w:sz w:val="32"/>
          <w:szCs w:val="32"/>
        </w:rPr>
        <w:t>年国民经济和社会发展计划》已经市</w:t>
      </w:r>
      <w:r>
        <w:rPr>
          <w:rFonts w:hint="eastAsia" w:ascii="仿宋_GB2312" w:hAnsi="仿宋_GB2312" w:eastAsia="仿宋_GB2312" w:cs="仿宋_GB2312"/>
          <w:spacing w:val="-6"/>
          <w:sz w:val="32"/>
          <w:szCs w:val="32"/>
          <w:lang w:eastAsia="zh-CN"/>
        </w:rPr>
        <w:t>十九</w:t>
      </w:r>
      <w:r>
        <w:rPr>
          <w:rFonts w:hint="eastAsia" w:ascii="仿宋_GB2312" w:hAnsi="仿宋_GB2312" w:eastAsia="仿宋_GB2312" w:cs="仿宋_GB2312"/>
          <w:spacing w:val="-6"/>
          <w:sz w:val="32"/>
          <w:szCs w:val="32"/>
        </w:rPr>
        <w:t>届人大</w:t>
      </w:r>
      <w:r>
        <w:rPr>
          <w:rFonts w:hint="eastAsia" w:ascii="仿宋_GB2312" w:hAnsi="仿宋_GB2312" w:eastAsia="仿宋_GB2312" w:cs="仿宋_GB2312"/>
          <w:spacing w:val="-6"/>
          <w:sz w:val="32"/>
          <w:szCs w:val="32"/>
          <w:lang w:eastAsia="zh-CN"/>
        </w:rPr>
        <w:t>一</w:t>
      </w:r>
      <w:r>
        <w:rPr>
          <w:rFonts w:hint="eastAsia" w:ascii="仿宋_GB2312" w:hAnsi="仿宋_GB2312" w:eastAsia="仿宋_GB2312" w:cs="仿宋_GB2312"/>
          <w:spacing w:val="-6"/>
          <w:sz w:val="32"/>
          <w:szCs w:val="32"/>
        </w:rPr>
        <w:t>次会议</w:t>
      </w:r>
      <w:r>
        <w:rPr>
          <w:rFonts w:hint="eastAsia" w:ascii="仿宋_GB2312" w:hAnsi="仿宋_GB2312" w:eastAsia="仿宋_GB2312" w:cs="仿宋_GB2312"/>
          <w:spacing w:val="-6"/>
          <w:sz w:val="32"/>
          <w:szCs w:val="32"/>
          <w:lang w:val="en-US" w:eastAsia="zh-CN"/>
        </w:rPr>
        <w:t>审议通过</w:t>
      </w:r>
      <w:r>
        <w:rPr>
          <w:rFonts w:hint="eastAsia" w:ascii="仿宋_GB2312" w:hAnsi="仿宋_GB2312" w:eastAsia="仿宋_GB2312" w:cs="仿宋_GB2312"/>
          <w:spacing w:val="-6"/>
          <w:sz w:val="32"/>
          <w:szCs w:val="32"/>
          <w:lang w:eastAsia="zh-CN"/>
        </w:rPr>
        <w:t>，</w:t>
      </w:r>
      <w:r>
        <w:rPr>
          <w:rFonts w:hint="eastAsia" w:ascii="仿宋_GB2312" w:hAnsi="仿宋_GB2312" w:eastAsia="仿宋_GB2312" w:cs="仿宋_GB2312"/>
          <w:spacing w:val="-6"/>
          <w:sz w:val="32"/>
          <w:szCs w:val="32"/>
          <w:lang w:val="en-US" w:eastAsia="zh-CN"/>
        </w:rPr>
        <w:t>现印发给你们，请结合实际认真贯彻执行</w:t>
      </w:r>
      <w:r>
        <w:rPr>
          <w:rFonts w:hint="eastAsia" w:ascii="仿宋_GB2312" w:hAnsi="仿宋_GB2312" w:eastAsia="仿宋_GB2312" w:cs="仿宋_GB2312"/>
          <w:spacing w:val="-6"/>
          <w:sz w:val="32"/>
          <w:szCs w:val="32"/>
        </w:rPr>
        <w:t>。</w:t>
      </w:r>
    </w:p>
    <w:p>
      <w:pPr>
        <w:keepNext w:val="0"/>
        <w:keepLines w:val="0"/>
        <w:pageBreakBefore w:val="0"/>
        <w:widowControl/>
        <w:kinsoku/>
        <w:wordWrap/>
        <w:overflowPunct w:val="0"/>
        <w:topLinePunct w:val="0"/>
        <w:autoSpaceDE/>
        <w:autoSpaceDN/>
        <w:bidi w:val="0"/>
        <w:adjustRightInd/>
        <w:snapToGrid/>
        <w:spacing w:line="400" w:lineRule="exact"/>
        <w:ind w:right="-227" w:rightChars="-71"/>
        <w:textAlignment w:val="auto"/>
        <w:rPr>
          <w:rFonts w:hint="eastAsia" w:ascii="仿宋_GB2312" w:hAnsi="仿宋_GB2312" w:eastAsia="仿宋_GB2312" w:cs="仿宋_GB2312"/>
          <w:szCs w:val="32"/>
        </w:rPr>
      </w:pPr>
    </w:p>
    <w:p>
      <w:pPr>
        <w:keepNext w:val="0"/>
        <w:keepLines w:val="0"/>
        <w:pageBreakBefore w:val="0"/>
        <w:widowControl/>
        <w:kinsoku/>
        <w:wordWrap w:val="0"/>
        <w:overflowPunct w:val="0"/>
        <w:topLinePunct w:val="0"/>
        <w:autoSpaceDE/>
        <w:autoSpaceDN/>
        <w:bidi w:val="0"/>
        <w:adjustRightInd/>
        <w:snapToGrid/>
        <w:spacing w:line="550" w:lineRule="exact"/>
        <w:ind w:right="480" w:rightChars="150" w:firstLine="5440" w:firstLineChars="1700"/>
        <w:jc w:val="left"/>
        <w:textAlignment w:val="auto"/>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青州市人民政府</w:t>
      </w:r>
    </w:p>
    <w:p>
      <w:pPr>
        <w:keepNext w:val="0"/>
        <w:keepLines w:val="0"/>
        <w:pageBreakBefore w:val="0"/>
        <w:widowControl/>
        <w:kinsoku/>
        <w:wordWrap w:val="0"/>
        <w:overflowPunct w:val="0"/>
        <w:topLinePunct w:val="0"/>
        <w:autoSpaceDE/>
        <w:autoSpaceDN/>
        <w:bidi w:val="0"/>
        <w:adjustRightInd/>
        <w:snapToGrid/>
        <w:spacing w:line="550" w:lineRule="exact"/>
        <w:ind w:right="480" w:rightChars="150" w:firstLine="5440" w:firstLineChars="1700"/>
        <w:jc w:val="left"/>
        <w:textAlignment w:val="auto"/>
        <w:rPr>
          <w:rFonts w:hint="eastAsia" w:ascii="仿宋_GB2312" w:hAnsi="仿宋_GB2312" w:eastAsia="仿宋_GB2312" w:cs="仿宋_GB2312"/>
          <w:color w:val="000000"/>
          <w:szCs w:val="32"/>
          <w:lang w:val="en-US" w:eastAsia="zh-CN"/>
        </w:rPr>
      </w:pPr>
      <w:r>
        <w:rPr>
          <w:rFonts w:hint="eastAsia" w:ascii="仿宋_GB2312" w:hAnsi="仿宋_GB2312" w:eastAsia="仿宋_GB2312" w:cs="仿宋_GB2312"/>
          <w:color w:val="000000"/>
          <w:szCs w:val="32"/>
        </w:rPr>
        <w:t>202</w:t>
      </w:r>
      <w:r>
        <w:rPr>
          <w:rFonts w:hint="eastAsia" w:ascii="仿宋_GB2312" w:hAnsi="仿宋_GB2312" w:cs="仿宋_GB2312"/>
          <w:color w:val="000000"/>
          <w:szCs w:val="32"/>
          <w:lang w:val="en-US" w:eastAsia="zh-CN"/>
        </w:rPr>
        <w:t>2</w:t>
      </w:r>
      <w:r>
        <w:rPr>
          <w:rFonts w:hint="eastAsia" w:ascii="仿宋_GB2312" w:hAnsi="仿宋_GB2312" w:eastAsia="仿宋_GB2312" w:cs="仿宋_GB2312"/>
          <w:color w:val="000000"/>
          <w:szCs w:val="32"/>
        </w:rPr>
        <w:t>年</w:t>
      </w:r>
      <w:r>
        <w:rPr>
          <w:rFonts w:hint="eastAsia" w:ascii="仿宋_GB2312" w:hAnsi="仿宋_GB2312" w:cs="仿宋_GB2312"/>
          <w:color w:val="000000"/>
          <w:szCs w:val="32"/>
          <w:lang w:val="en-US" w:eastAsia="zh-CN"/>
        </w:rPr>
        <w:t>2</w:t>
      </w:r>
      <w:r>
        <w:rPr>
          <w:rFonts w:hint="eastAsia" w:ascii="仿宋_GB2312" w:hAnsi="仿宋_GB2312" w:eastAsia="仿宋_GB2312" w:cs="仿宋_GB2312"/>
          <w:color w:val="000000"/>
          <w:szCs w:val="32"/>
        </w:rPr>
        <w:t>月</w:t>
      </w:r>
      <w:r>
        <w:rPr>
          <w:rFonts w:hint="eastAsia" w:ascii="仿宋_GB2312" w:hAnsi="仿宋_GB2312" w:cs="仿宋_GB2312"/>
          <w:color w:val="000000"/>
          <w:szCs w:val="32"/>
          <w:lang w:val="en-US" w:eastAsia="zh-CN"/>
        </w:rPr>
        <w:t>7</w:t>
      </w:r>
      <w:r>
        <w:rPr>
          <w:rFonts w:hint="eastAsia" w:ascii="仿宋_GB2312" w:hAnsi="仿宋_GB2312" w:eastAsia="仿宋_GB2312" w:cs="仿宋_GB2312"/>
          <w:color w:val="000000"/>
          <w:szCs w:val="32"/>
        </w:rPr>
        <w:t>日</w:t>
      </w:r>
    </w:p>
    <w:p>
      <w:pPr>
        <w:keepNext w:val="0"/>
        <w:keepLines w:val="0"/>
        <w:pageBreakBefore w:val="0"/>
        <w:widowControl/>
        <w:kinsoku/>
        <w:overflowPunct w:val="0"/>
        <w:topLinePunct w:val="0"/>
        <w:autoSpaceDE/>
        <w:autoSpaceDN/>
        <w:bidi w:val="0"/>
        <w:adjustRightInd/>
        <w:snapToGrid/>
        <w:spacing w:line="550" w:lineRule="exact"/>
        <w:ind w:right="-227" w:rightChars="-71" w:firstLine="640" w:firstLineChars="200"/>
        <w:textAlignment w:val="auto"/>
        <w:rPr>
          <w:rFonts w:hint="eastAsia" w:ascii="仿宋_GB2312" w:hAnsi="仿宋_GB2312" w:cs="仿宋_GB2312"/>
          <w:szCs w:val="32"/>
          <w:lang w:eastAsia="zh-CN"/>
        </w:rPr>
      </w:pPr>
      <w:r>
        <w:rPr>
          <w:rFonts w:hint="eastAsia" w:ascii="仿宋_GB2312" w:hAnsi="仿宋_GB2312" w:cs="仿宋_GB2312"/>
          <w:szCs w:val="32"/>
          <w:lang w:eastAsia="zh-CN"/>
        </w:rPr>
        <w:t>（</w:t>
      </w:r>
      <w:r>
        <w:rPr>
          <w:rFonts w:hint="eastAsia" w:ascii="仿宋_GB2312" w:hAnsi="仿宋_GB2312" w:cs="仿宋_GB2312"/>
          <w:szCs w:val="32"/>
          <w:lang w:val="en-US" w:eastAsia="zh-CN"/>
        </w:rPr>
        <w:t>此件主动公开</w:t>
      </w:r>
      <w:r>
        <w:rPr>
          <w:rFonts w:hint="eastAsia" w:ascii="仿宋_GB2312" w:hAnsi="仿宋_GB2312" w:cs="仿宋_GB2312"/>
          <w:szCs w:val="32"/>
          <w:lang w:eastAsia="zh-CN"/>
        </w:rPr>
        <w:t>）</w:t>
      </w:r>
    </w:p>
    <w:p>
      <w:pPr>
        <w:keepNext w:val="0"/>
        <w:keepLines w:val="0"/>
        <w:pageBreakBefore w:val="0"/>
        <w:widowControl w:val="0"/>
        <w:kinsoku/>
        <w:wordWrap/>
        <w:overflowPunct/>
        <w:topLinePunct w:val="0"/>
        <w:autoSpaceDE/>
        <w:autoSpaceDN/>
        <w:bidi w:val="0"/>
        <w:spacing w:line="600" w:lineRule="exact"/>
        <w:ind w:left="0" w:leftChars="0" w:right="0" w:rightChars="0"/>
        <w:jc w:val="center"/>
        <w:textAlignment w:val="auto"/>
        <w:rPr>
          <w:rFonts w:hint="eastAsia" w:ascii="文星标宋" w:hAnsi="文星标宋" w:eastAsia="文星标宋"/>
          <w:color w:val="000000"/>
          <w:sz w:val="44"/>
          <w:szCs w:val="44"/>
        </w:rPr>
      </w:pPr>
    </w:p>
    <w:p>
      <w:pPr>
        <w:keepNext w:val="0"/>
        <w:keepLines w:val="0"/>
        <w:pageBreakBefore w:val="0"/>
        <w:widowControl w:val="0"/>
        <w:kinsoku/>
        <w:wordWrap/>
        <w:overflowPunct/>
        <w:topLinePunct w:val="0"/>
        <w:autoSpaceDE/>
        <w:autoSpaceDN/>
        <w:bidi w:val="0"/>
        <w:spacing w:line="560" w:lineRule="exact"/>
        <w:ind w:left="0" w:leftChars="0" w:right="0" w:rightChars="0"/>
        <w:jc w:val="center"/>
        <w:textAlignment w:val="auto"/>
        <w:rPr>
          <w:rFonts w:hint="eastAsia" w:ascii="文星标宋" w:hAnsi="文星标宋" w:eastAsia="文星标宋"/>
          <w:color w:val="000000"/>
          <w:sz w:val="44"/>
          <w:szCs w:val="44"/>
        </w:rPr>
      </w:pPr>
      <w:r>
        <w:rPr>
          <w:rFonts w:hint="eastAsia" w:ascii="文星标宋" w:hAnsi="文星标宋" w:eastAsia="文星标宋"/>
          <w:color w:val="000000"/>
          <w:sz w:val="44"/>
          <w:szCs w:val="44"/>
        </w:rPr>
        <w:t>青州市20</w:t>
      </w:r>
      <w:r>
        <w:rPr>
          <w:rFonts w:hint="eastAsia" w:ascii="文星标宋" w:hAnsi="文星标宋" w:eastAsia="文星标宋"/>
          <w:color w:val="000000"/>
          <w:sz w:val="44"/>
          <w:szCs w:val="44"/>
          <w:lang w:val="en-US" w:eastAsia="zh-CN"/>
        </w:rPr>
        <w:t>22</w:t>
      </w:r>
      <w:r>
        <w:rPr>
          <w:rFonts w:hint="eastAsia" w:ascii="文星标宋" w:hAnsi="文星标宋" w:eastAsia="文星标宋"/>
          <w:color w:val="000000"/>
          <w:sz w:val="44"/>
          <w:szCs w:val="44"/>
        </w:rPr>
        <w:t>年国民经济和社会发展计划</w:t>
      </w:r>
    </w:p>
    <w:p>
      <w:pPr>
        <w:keepNext w:val="0"/>
        <w:keepLines w:val="0"/>
        <w:pageBreakBefore w:val="0"/>
        <w:widowControl w:val="0"/>
        <w:kinsoku/>
        <w:wordWrap/>
        <w:overflowPunct/>
        <w:topLinePunct w:val="0"/>
        <w:autoSpaceDE/>
        <w:autoSpaceDN/>
        <w:bidi w:val="0"/>
        <w:spacing w:line="560" w:lineRule="exact"/>
        <w:ind w:left="0" w:leftChars="0" w:right="0" w:rightChars="0"/>
        <w:jc w:val="center"/>
        <w:textAlignment w:val="auto"/>
        <w:rPr>
          <w:rFonts w:hint="eastAsia" w:ascii="文星标宋" w:hAnsi="文星标宋" w:eastAsia="文星标宋"/>
          <w:color w:val="000000"/>
          <w:sz w:val="44"/>
          <w:szCs w:val="44"/>
        </w:rPr>
      </w:pPr>
    </w:p>
    <w:p>
      <w:pPr>
        <w:keepNext w:val="0"/>
        <w:keepLines w:val="0"/>
        <w:pageBreakBefore w:val="0"/>
        <w:widowControl w:val="0"/>
        <w:suppressLineNumbers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黑体" w:hAnsi="黑体" w:eastAsia="黑体" w:cs="黑体"/>
          <w:color w:val="auto"/>
          <w:sz w:val="32"/>
          <w:szCs w:val="32"/>
          <w:lang w:eastAsia="zh-CN"/>
        </w:rPr>
      </w:pPr>
      <w:r>
        <w:rPr>
          <w:rFonts w:hint="eastAsia" w:ascii="黑体" w:hAnsi="黑体" w:eastAsia="黑体" w:cs="黑体"/>
          <w:color w:val="auto"/>
          <w:sz w:val="32"/>
          <w:szCs w:val="32"/>
          <w:lang w:val="en-US" w:eastAsia="zh-CN"/>
        </w:rPr>
        <w:t>一、2021年</w:t>
      </w:r>
      <w:r>
        <w:rPr>
          <w:rFonts w:hint="eastAsia" w:ascii="黑体" w:hAnsi="黑体" w:eastAsia="黑体" w:cs="黑体"/>
          <w:color w:val="auto"/>
          <w:sz w:val="32"/>
          <w:szCs w:val="32"/>
          <w:lang w:eastAsia="zh-CN"/>
        </w:rPr>
        <w:t>国民经济和社会发展计划执行情况</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eastAsia" w:ascii="仿宋_GB2312" w:hAnsi="仿宋_GB2312" w:eastAsia="仿宋_GB2312" w:cs="仿宋_GB2312"/>
          <w:color w:val="auto"/>
          <w:sz w:val="32"/>
          <w:szCs w:val="32"/>
          <w:rtl w:val="0"/>
          <w:lang w:val="en-US" w:eastAsia="zh-CN"/>
        </w:rPr>
        <w:t>2021年，全市上下在市委的坚强领导和市人大、市政协的监督支持下，圆满地完成了市十八届人大五次会议审议批准的国民经济和社会发展计划，“十四五”实现良好开局。</w:t>
      </w:r>
    </w:p>
    <w:p>
      <w:pPr>
        <w:keepNext w:val="0"/>
        <w:keepLines w:val="0"/>
        <w:pageBreakBefore w:val="0"/>
        <w:widowControl w:val="0"/>
        <w:kinsoku/>
        <w:wordWrap/>
        <w:overflowPunct/>
        <w:topLinePunct w:val="0"/>
        <w:autoSpaceDE/>
        <w:autoSpaceDN/>
        <w:bidi w:val="0"/>
        <w:adjustRightInd/>
        <w:snapToGrid/>
        <w:spacing w:line="570" w:lineRule="exact"/>
        <w:ind w:left="0" w:leftChars="0" w:firstLine="640" w:firstLineChars="200"/>
        <w:textAlignment w:val="auto"/>
        <w:rPr>
          <w:rFonts w:hint="eastAsia"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（一）经济运行稳中向好。</w:t>
      </w:r>
      <w:r>
        <w:rPr>
          <w:rFonts w:hint="eastAsia" w:ascii="仿宋_GB2312" w:hAnsi="仿宋_GB2312" w:eastAsia="仿宋_GB2312" w:cs="仿宋_GB2312"/>
          <w:color w:val="auto"/>
          <w:sz w:val="32"/>
          <w:szCs w:val="32"/>
          <w:rtl w:val="0"/>
          <w:lang w:val="en-US" w:eastAsia="zh-CN"/>
        </w:rPr>
        <w:t>2021年，预计实现地区生产总值650亿元，同比增长10.5%；固定资产投资同比增长18.5%；完成一般公共预算收入53.9亿元，同比增长12.1%。</w:t>
      </w:r>
    </w:p>
    <w:p>
      <w:pPr>
        <w:keepNext w:val="0"/>
        <w:keepLines w:val="0"/>
        <w:pageBreakBefore w:val="0"/>
        <w:widowControl w:val="0"/>
        <w:numPr>
          <w:ilvl w:val="0"/>
          <w:numId w:val="0"/>
        </w:numPr>
        <w:kinsoku/>
        <w:wordWrap/>
        <w:overflowPunct/>
        <w:topLinePunct w:val="0"/>
        <w:autoSpaceDE/>
        <w:autoSpaceDN/>
        <w:bidi w:val="0"/>
        <w:adjustRightInd w:val="0"/>
        <w:snapToGrid w:val="0"/>
        <w:spacing w:after="0" w:line="570" w:lineRule="exact"/>
        <w:ind w:firstLine="640" w:firstLineChars="200"/>
        <w:jc w:val="both"/>
        <w:textAlignment w:val="auto"/>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（二）经济结构调优调高。</w:t>
      </w:r>
      <w:r>
        <w:rPr>
          <w:rFonts w:hint="eastAsia" w:ascii="仿宋_GB2312" w:hAnsi="仿宋_GB2312" w:eastAsia="仿宋_GB2312" w:cs="仿宋_GB2312"/>
          <w:color w:val="auto"/>
          <w:sz w:val="32"/>
          <w:szCs w:val="32"/>
          <w:rtl w:val="0"/>
          <w:lang w:val="en-US" w:eastAsia="zh-CN"/>
        </w:rPr>
        <w:t>完成</w:t>
      </w:r>
      <w:r>
        <w:rPr>
          <w:rFonts w:hint="default" w:ascii="仿宋_GB2312" w:hAnsi="仿宋_GB2312" w:eastAsia="仿宋_GB2312" w:cs="仿宋_GB2312"/>
          <w:color w:val="auto"/>
          <w:sz w:val="32"/>
          <w:szCs w:val="32"/>
          <w:rtl w:val="0"/>
          <w:lang w:val="en-US" w:eastAsia="zh-CN"/>
        </w:rPr>
        <w:t>技改投资</w:t>
      </w:r>
      <w:r>
        <w:rPr>
          <w:rFonts w:hint="eastAsia" w:ascii="仿宋_GB2312" w:hAnsi="仿宋_GB2312" w:eastAsia="仿宋_GB2312" w:cs="仿宋_GB2312"/>
          <w:color w:val="auto"/>
          <w:sz w:val="32"/>
          <w:szCs w:val="32"/>
          <w:rtl w:val="0"/>
          <w:lang w:val="en-US" w:eastAsia="zh-CN"/>
        </w:rPr>
        <w:t>8</w:t>
      </w:r>
      <w:r>
        <w:rPr>
          <w:rFonts w:hint="default" w:ascii="仿宋_GB2312" w:hAnsi="仿宋_GB2312" w:eastAsia="仿宋_GB2312" w:cs="仿宋_GB2312"/>
          <w:color w:val="auto"/>
          <w:sz w:val="32"/>
          <w:szCs w:val="32"/>
          <w:rtl w:val="0"/>
          <w:lang w:val="en-US" w:eastAsia="zh-CN"/>
        </w:rPr>
        <w:t>0亿元，23个省市重点项目完成投资106亿元。51家铸造企业转型升级，云门酒业荣获潍坊市市长质量奖，中化弘润认定为国家级制造行业绿色工厂。新增7家省“瞪羚”企业、7家省制造业高端品牌企业、34家潍坊市级及以上“专精特新”和“隐形冠军”企业</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5G基站</w:t>
      </w:r>
      <w:r>
        <w:rPr>
          <w:rFonts w:hint="eastAsia" w:ascii="仿宋_GB2312" w:hAnsi="仿宋_GB2312" w:eastAsia="仿宋_GB2312" w:cs="仿宋_GB2312"/>
          <w:color w:val="auto"/>
          <w:sz w:val="32"/>
          <w:szCs w:val="32"/>
          <w:rtl w:val="0"/>
          <w:lang w:val="en-US" w:eastAsia="zh-CN"/>
        </w:rPr>
        <w:t>达到</w:t>
      </w:r>
      <w:r>
        <w:rPr>
          <w:rFonts w:hint="default" w:ascii="仿宋_GB2312" w:hAnsi="仿宋_GB2312" w:eastAsia="仿宋_GB2312" w:cs="仿宋_GB2312"/>
          <w:color w:val="auto"/>
          <w:sz w:val="32"/>
          <w:szCs w:val="32"/>
          <w:rtl w:val="0"/>
          <w:lang w:val="en-US" w:eastAsia="zh-CN"/>
        </w:rPr>
        <w:t>733座</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智能物联网产业园通过省级验收。龙兴寺佛教造像入选“百年百大考古发现”</w:t>
      </w:r>
      <w:r>
        <w:rPr>
          <w:rFonts w:hint="eastAsia" w:ascii="仿宋_GB2312" w:hAnsi="仿宋_GB2312" w:eastAsia="仿宋_GB2312" w:cs="仿宋_GB2312"/>
          <w:color w:val="auto"/>
          <w:sz w:val="32"/>
          <w:szCs w:val="32"/>
          <w:rtl w:val="0"/>
          <w:lang w:val="en-US" w:eastAsia="zh-CN"/>
        </w:rPr>
        <w:t>。入选全国服务业百强县。</w:t>
      </w:r>
      <w:r>
        <w:rPr>
          <w:rFonts w:hint="default" w:ascii="仿宋_GB2312" w:hAnsi="仿宋_GB2312" w:eastAsia="仿宋_GB2312" w:cs="仿宋_GB2312"/>
          <w:color w:val="auto"/>
          <w:sz w:val="32"/>
          <w:szCs w:val="32"/>
          <w:rtl w:val="0"/>
          <w:lang w:val="en-US" w:eastAsia="zh-CN"/>
        </w:rPr>
        <w:t>获评中国品质休闲百佳县市</w:t>
      </w:r>
      <w:r>
        <w:rPr>
          <w:rFonts w:hint="eastAsia" w:ascii="仿宋_GB2312" w:hAnsi="仿宋_GB2312" w:eastAsia="仿宋_GB2312" w:cs="仿宋_GB2312"/>
          <w:color w:val="auto"/>
          <w:sz w:val="32"/>
          <w:szCs w:val="32"/>
          <w:rtl w:val="0"/>
          <w:lang w:val="en-US" w:eastAsia="zh-CN"/>
        </w:rPr>
        <w:t>。博物馆新馆主体完工，</w:t>
      </w:r>
      <w:r>
        <w:rPr>
          <w:rFonts w:hint="default" w:ascii="仿宋_GB2312" w:hAnsi="仿宋_GB2312" w:eastAsia="仿宋_GB2312" w:cs="仿宋_GB2312"/>
          <w:color w:val="auto"/>
          <w:sz w:val="32"/>
          <w:szCs w:val="32"/>
          <w:rtl w:val="0"/>
          <w:lang w:val="en-US" w:eastAsia="zh-CN"/>
        </w:rPr>
        <w:t>不夜城等精品旅游项目投入运营</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开行国际货运109列，国际陆港年吞吐能力达到2000万吨。联科科技在深交所上市。人均储蓄存款稳居潍坊各县市首位</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银行机构新增存贷比107.3%，存款规模突破1000亿元</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现代农业产业园被</w:t>
      </w:r>
      <w:r>
        <w:rPr>
          <w:rFonts w:hint="eastAsia" w:ascii="仿宋_GB2312" w:hAnsi="仿宋_GB2312" w:eastAsia="仿宋_GB2312" w:cs="仿宋_GB2312"/>
          <w:color w:val="auto"/>
          <w:sz w:val="32"/>
          <w:szCs w:val="32"/>
          <w:rtl w:val="0"/>
          <w:lang w:val="en-US" w:eastAsia="zh-CN"/>
        </w:rPr>
        <w:t>认定为</w:t>
      </w:r>
      <w:r>
        <w:rPr>
          <w:rFonts w:hint="default" w:ascii="仿宋_GB2312" w:hAnsi="仿宋_GB2312" w:eastAsia="仿宋_GB2312" w:cs="仿宋_GB2312"/>
          <w:color w:val="auto"/>
          <w:sz w:val="32"/>
          <w:szCs w:val="32"/>
          <w:rtl w:val="0"/>
          <w:lang w:val="en-US" w:eastAsia="zh-CN"/>
        </w:rPr>
        <w:t>首批省级园区</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凯欣食品入选省“十强”产业领军企业、凯佳食品</w:t>
      </w:r>
      <w:r>
        <w:rPr>
          <w:rFonts w:hint="eastAsia" w:ascii="仿宋_GB2312" w:hAnsi="仿宋_GB2312" w:eastAsia="仿宋_GB2312" w:cs="仿宋_GB2312"/>
          <w:color w:val="auto"/>
          <w:sz w:val="32"/>
          <w:szCs w:val="32"/>
          <w:rtl w:val="0"/>
          <w:lang w:val="en-US" w:eastAsia="zh-CN"/>
        </w:rPr>
        <w:t>获评</w:t>
      </w:r>
      <w:r>
        <w:rPr>
          <w:rFonts w:hint="default" w:ascii="仿宋_GB2312" w:hAnsi="仿宋_GB2312" w:eastAsia="仿宋_GB2312" w:cs="仿宋_GB2312"/>
          <w:color w:val="auto"/>
          <w:sz w:val="32"/>
          <w:szCs w:val="32"/>
          <w:rtl w:val="0"/>
          <w:lang w:val="en-US" w:eastAsia="zh-CN"/>
        </w:rPr>
        <w:t>全国生猪屠宰标准化示范厂</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云上花博成功举办，</w:t>
      </w:r>
      <w:r>
        <w:rPr>
          <w:rFonts w:hint="eastAsia" w:ascii="仿宋_GB2312" w:hAnsi="仿宋_GB2312" w:eastAsia="仿宋_GB2312" w:cs="仿宋_GB2312"/>
          <w:color w:val="auto"/>
          <w:sz w:val="32"/>
          <w:szCs w:val="32"/>
          <w:rtl w:val="0"/>
          <w:lang w:val="en-US" w:eastAsia="zh-CN"/>
        </w:rPr>
        <w:t>实现</w:t>
      </w:r>
      <w:r>
        <w:rPr>
          <w:rFonts w:hint="default" w:ascii="仿宋_GB2312" w:hAnsi="仿宋_GB2312" w:eastAsia="仿宋_GB2312" w:cs="仿宋_GB2312"/>
          <w:color w:val="auto"/>
          <w:sz w:val="32"/>
          <w:szCs w:val="32"/>
          <w:rtl w:val="0"/>
          <w:lang w:val="en-US" w:eastAsia="zh-CN"/>
        </w:rPr>
        <w:t>线上交易30亿元。</w:t>
      </w:r>
      <w:r>
        <w:rPr>
          <w:rFonts w:hint="eastAsia" w:ascii="仿宋_GB2312" w:hAnsi="仿宋_GB2312" w:eastAsia="仿宋_GB2312" w:cs="仿宋_GB2312"/>
          <w:color w:val="auto"/>
          <w:sz w:val="32"/>
          <w:szCs w:val="32"/>
          <w:rtl w:val="0"/>
          <w:lang w:val="en-US" w:eastAsia="zh-CN"/>
        </w:rPr>
        <w:t>花卉交易中心入选中国商品市场百强。</w:t>
      </w:r>
      <w:r>
        <w:rPr>
          <w:rFonts w:hint="default" w:ascii="仿宋_GB2312" w:hAnsi="仿宋_GB2312" w:eastAsia="仿宋_GB2312" w:cs="仿宋_GB2312"/>
          <w:color w:val="auto"/>
          <w:sz w:val="32"/>
          <w:szCs w:val="32"/>
          <w:rtl w:val="0"/>
          <w:lang w:val="en-US" w:eastAsia="zh-CN"/>
        </w:rPr>
        <w:t>首创花卉企业纳统，为全省涉农市场主体升规纳统创出新路。</w:t>
      </w:r>
    </w:p>
    <w:p>
      <w:pPr>
        <w:keepNext w:val="0"/>
        <w:keepLines w:val="0"/>
        <w:pageBreakBefore w:val="0"/>
        <w:widowControl w:val="0"/>
        <w:numPr>
          <w:ilvl w:val="0"/>
          <w:numId w:val="0"/>
        </w:numPr>
        <w:kinsoku/>
        <w:wordWrap/>
        <w:overflowPunct/>
        <w:topLinePunct w:val="0"/>
        <w:autoSpaceDE/>
        <w:autoSpaceDN/>
        <w:bidi w:val="0"/>
        <w:adjustRightInd w:val="0"/>
        <w:snapToGrid w:val="0"/>
        <w:spacing w:after="0" w:line="570" w:lineRule="exact"/>
        <w:ind w:firstLine="640" w:firstLineChars="200"/>
        <w:jc w:val="both"/>
        <w:textAlignment w:val="auto"/>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（三）乡村振兴持续推进。</w:t>
      </w:r>
      <w:r>
        <w:rPr>
          <w:rFonts w:hint="eastAsia" w:ascii="仿宋_GB2312" w:hAnsi="仿宋_GB2312" w:eastAsia="仿宋_GB2312" w:cs="仿宋_GB2312"/>
          <w:color w:val="auto"/>
          <w:sz w:val="32"/>
          <w:szCs w:val="32"/>
          <w:rtl w:val="0"/>
          <w:lang w:val="en-US" w:eastAsia="zh-CN"/>
        </w:rPr>
        <w:t>建成高标准农田2万亩，</w:t>
      </w:r>
      <w:r>
        <w:rPr>
          <w:rFonts w:hint="default" w:ascii="仿宋_GB2312" w:hAnsi="仿宋_GB2312" w:eastAsia="仿宋_GB2312" w:cs="仿宋_GB2312"/>
          <w:color w:val="auto"/>
          <w:sz w:val="32"/>
          <w:szCs w:val="32"/>
          <w:rtl w:val="0"/>
          <w:lang w:val="en-US" w:eastAsia="zh-CN"/>
        </w:rPr>
        <w:t>“三品一标”农产品品牌新认证21个</w:t>
      </w:r>
      <w:r>
        <w:rPr>
          <w:rFonts w:hint="eastAsia" w:ascii="仿宋_GB2312" w:hAnsi="仿宋_GB2312" w:eastAsia="仿宋_GB2312" w:cs="仿宋_GB2312"/>
          <w:color w:val="auto"/>
          <w:sz w:val="32"/>
          <w:szCs w:val="32"/>
          <w:rtl w:val="0"/>
          <w:lang w:val="en-US" w:eastAsia="zh-CN"/>
        </w:rPr>
        <w:t>。入选省级农产品供应链体系项目2个。获评省级农业产业化示范联合体3家。2个村获评省级乡土产业名品村。黄楼街道获评省乡村振兴示范镇。何官镇南小王等2家合作社入选国家级示范社。入选“两全两高”农业机械化示范市。深入推进农村人居环境整治，</w:t>
      </w:r>
      <w:r>
        <w:rPr>
          <w:rFonts w:hint="default" w:ascii="仿宋_GB2312" w:hAnsi="仿宋_GB2312" w:eastAsia="仿宋_GB2312" w:cs="仿宋_GB2312"/>
          <w:color w:val="auto"/>
          <w:sz w:val="32"/>
          <w:szCs w:val="32"/>
          <w:rtl w:val="0"/>
          <w:lang w:val="en-US" w:eastAsia="zh-CN"/>
        </w:rPr>
        <w:t>完成农村清洁取暖改造1.7万户，美丽庭院创建率30.8%。</w:t>
      </w:r>
      <w:r>
        <w:rPr>
          <w:rFonts w:hint="eastAsia" w:ascii="仿宋_GB2312" w:hAnsi="仿宋_GB2312" w:eastAsia="仿宋_GB2312" w:cs="仿宋_GB2312"/>
          <w:color w:val="auto"/>
          <w:sz w:val="32"/>
          <w:szCs w:val="32"/>
          <w:rtl w:val="0"/>
          <w:lang w:val="en-US" w:eastAsia="zh-CN"/>
        </w:rPr>
        <w:t>统筹推进脱贫攻坚与乡村振兴有效衔接，新实施产业扶贫、第一书记、基础设施项目17个，帮扶群众1.8万余人次。</w:t>
      </w:r>
    </w:p>
    <w:p>
      <w:pPr>
        <w:keepNext w:val="0"/>
        <w:keepLines w:val="0"/>
        <w:pageBreakBefore w:val="0"/>
        <w:widowControl w:val="0"/>
        <w:kinsoku/>
        <w:wordWrap/>
        <w:overflowPunct/>
        <w:topLinePunct w:val="0"/>
        <w:autoSpaceDE/>
        <w:autoSpaceDN/>
        <w:bidi w:val="0"/>
        <w:adjustRightInd w:val="0"/>
        <w:snapToGrid w:val="0"/>
        <w:spacing w:after="0" w:line="570" w:lineRule="exact"/>
        <w:ind w:firstLine="640" w:firstLineChars="200"/>
        <w:jc w:val="both"/>
        <w:textAlignment w:val="auto"/>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（四）内需动力激活发展。</w:t>
      </w:r>
      <w:r>
        <w:rPr>
          <w:rFonts w:hint="eastAsia" w:ascii="仿宋_GB2312" w:hAnsi="仿宋_GB2312" w:eastAsia="仿宋_GB2312" w:cs="仿宋_GB2312"/>
          <w:color w:val="auto"/>
          <w:sz w:val="32"/>
          <w:szCs w:val="32"/>
          <w:rtl w:val="0"/>
          <w:lang w:val="en-US" w:eastAsia="zh-CN"/>
        </w:rPr>
        <w:t>成功举办第五届青州文化和旅游惠民消费季，累计开展文化旅游公益活动、主题营销活动353项，参与人次7782万余人次。202个固定资产投资项目、129个工业重点项目顺利推进。2个项目获批地方政府专项债，1家企业获批发行企业债券。引进外国专家人才11人、硕士以上优秀青年人才344人、科研院所合作平台16处，获批省院士工作站2处。4家企业立项省重点研发计划，28个项目获潍坊科技进步奖，吉青化工、八喜文旅等11家企业获批省市级重点实验室、技术创新中心。</w:t>
      </w:r>
      <w:r>
        <w:rPr>
          <w:rFonts w:hint="default" w:ascii="仿宋_GB2312" w:hAnsi="仿宋_GB2312" w:eastAsia="仿宋_GB2312" w:cs="仿宋_GB2312"/>
          <w:color w:val="auto"/>
          <w:sz w:val="32"/>
          <w:szCs w:val="32"/>
          <w:rtl w:val="0"/>
          <w:lang w:val="en-US" w:eastAsia="zh-CN"/>
        </w:rPr>
        <w:t>八喜文旅集团创建为国家文化和科技融合示范基地。</w:t>
      </w:r>
      <w:r>
        <w:rPr>
          <w:rFonts w:hint="eastAsia" w:ascii="仿宋_GB2312" w:hAnsi="仿宋_GB2312" w:eastAsia="仿宋_GB2312" w:cs="仿宋_GB2312"/>
          <w:color w:val="auto"/>
          <w:sz w:val="32"/>
          <w:szCs w:val="32"/>
          <w:rtl w:val="0"/>
          <w:lang w:val="en-US" w:eastAsia="zh-CN"/>
        </w:rPr>
        <w:t>入选全国创新竞争力百强县。</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left="0" w:leftChars="0" w:firstLine="640" w:firstLineChars="200"/>
        <w:textAlignment w:val="auto"/>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（五）城市品质持续提升。</w:t>
      </w:r>
      <w:r>
        <w:rPr>
          <w:rFonts w:hint="default" w:ascii="仿宋_GB2312" w:hAnsi="仿宋_GB2312" w:eastAsia="仿宋_GB2312" w:cs="仿宋_GB2312"/>
          <w:color w:val="auto"/>
          <w:sz w:val="32"/>
          <w:szCs w:val="32"/>
          <w:rtl w:val="0"/>
          <w:lang w:val="en-US" w:eastAsia="zh-CN"/>
        </w:rPr>
        <w:t>完成云门山路等25条主次干道建设提升，实施尧王山东路等道路雨污管网工程11条</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建成口袋公园</w:t>
      </w:r>
      <w:r>
        <w:rPr>
          <w:rFonts w:hint="eastAsia" w:ascii="仿宋_GB2312" w:hAnsi="仿宋_GB2312" w:eastAsia="仿宋_GB2312" w:cs="仿宋_GB2312"/>
          <w:color w:val="auto"/>
          <w:sz w:val="32"/>
          <w:szCs w:val="32"/>
          <w:rtl w:val="0"/>
          <w:lang w:val="en-US" w:eastAsia="zh-CN"/>
        </w:rPr>
        <w:t>7</w:t>
      </w:r>
      <w:r>
        <w:rPr>
          <w:rFonts w:hint="default" w:ascii="仿宋_GB2312" w:hAnsi="仿宋_GB2312" w:eastAsia="仿宋_GB2312" w:cs="仿宋_GB2312"/>
          <w:color w:val="auto"/>
          <w:sz w:val="32"/>
          <w:szCs w:val="32"/>
          <w:rtl w:val="0"/>
          <w:lang w:val="en-US" w:eastAsia="zh-CN"/>
        </w:rPr>
        <w:t>处</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开放免费停车位6.</w:t>
      </w:r>
      <w:r>
        <w:rPr>
          <w:rFonts w:hint="eastAsia" w:ascii="仿宋_GB2312" w:hAnsi="仿宋_GB2312" w:eastAsia="仿宋_GB2312" w:cs="仿宋_GB2312"/>
          <w:color w:val="auto"/>
          <w:sz w:val="32"/>
          <w:szCs w:val="32"/>
          <w:rtl w:val="0"/>
          <w:lang w:val="en-US" w:eastAsia="zh-CN"/>
        </w:rPr>
        <w:t>5</w:t>
      </w:r>
      <w:r>
        <w:rPr>
          <w:rFonts w:hint="default" w:ascii="仿宋_GB2312" w:hAnsi="仿宋_GB2312" w:eastAsia="仿宋_GB2312" w:cs="仿宋_GB2312"/>
          <w:color w:val="auto"/>
          <w:sz w:val="32"/>
          <w:szCs w:val="32"/>
          <w:rtl w:val="0"/>
          <w:lang w:val="en-US" w:eastAsia="zh-CN"/>
        </w:rPr>
        <w:t>万个。</w:t>
      </w:r>
      <w:r>
        <w:rPr>
          <w:rFonts w:hint="eastAsia" w:ascii="仿宋_GB2312" w:hAnsi="仿宋_GB2312" w:eastAsia="仿宋_GB2312" w:cs="仿宋_GB2312"/>
          <w:color w:val="auto"/>
          <w:sz w:val="32"/>
          <w:szCs w:val="32"/>
          <w:rtl w:val="0"/>
          <w:lang w:val="en-US" w:eastAsia="zh-CN"/>
        </w:rPr>
        <w:t>完成列入省计划老旧小区改造11个。新建电动车充电棚230个、安装充电桩3000余个。</w:t>
      </w:r>
      <w:r>
        <w:rPr>
          <w:rFonts w:hint="default" w:ascii="仿宋_GB2312" w:hAnsi="仿宋_GB2312" w:eastAsia="仿宋_GB2312" w:cs="仿宋_GB2312"/>
          <w:color w:val="auto"/>
          <w:sz w:val="32"/>
          <w:szCs w:val="32"/>
          <w:rtl w:val="0"/>
          <w:lang w:val="en-US" w:eastAsia="zh-CN"/>
        </w:rPr>
        <w:t>免费更新居民燃气软管7.4万户，实现城区供暖直供全覆盖。</w:t>
      </w:r>
      <w:r>
        <w:rPr>
          <w:rFonts w:hint="eastAsia" w:ascii="仿宋_GB2312" w:hAnsi="仿宋_GB2312" w:eastAsia="仿宋_GB2312" w:cs="仿宋_GB2312"/>
          <w:color w:val="auto"/>
          <w:sz w:val="32"/>
          <w:szCs w:val="32"/>
          <w:rtl w:val="0"/>
          <w:lang w:val="en-US" w:eastAsia="zh-CN"/>
        </w:rPr>
        <w:t>建成全域旅游党建展馆1座。圆满举办春节系列文旅活动、庆祝建党100周年系列活动，开展非遗传承展示展演700余场、文化惠民演出1446场。省首家非遗产业学院在潍坊工程职业学院挂牌。弥河镇获评省级园林城镇</w:t>
      </w:r>
      <w:r>
        <w:rPr>
          <w:rFonts w:hint="default" w:ascii="仿宋_GB2312" w:hAnsi="仿宋_GB2312" w:eastAsia="仿宋_GB2312" w:cs="仿宋_GB2312"/>
          <w:color w:val="auto"/>
          <w:sz w:val="32"/>
          <w:szCs w:val="32"/>
          <w:rtl w:val="0"/>
          <w:lang w:val="en-US" w:eastAsia="zh-CN"/>
        </w:rPr>
        <w:t>。入选中国智慧城市百佳县市</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中国文化建设百佳县市</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省民间文化艺术之乡</w:t>
      </w:r>
      <w:r>
        <w:rPr>
          <w:rFonts w:hint="eastAsia" w:ascii="仿宋_GB2312" w:hAnsi="仿宋_GB2312" w:eastAsia="仿宋_GB2312" w:cs="仿宋_GB2312"/>
          <w:color w:val="auto"/>
          <w:sz w:val="32"/>
          <w:szCs w:val="32"/>
          <w:rtl w:val="0"/>
          <w:lang w:val="en-US" w:eastAsia="zh-CN"/>
        </w:rPr>
        <w:t>。</w:t>
      </w:r>
    </w:p>
    <w:p>
      <w:pPr>
        <w:keepNext w:val="0"/>
        <w:keepLines w:val="0"/>
        <w:pageBreakBefore w:val="0"/>
        <w:widowControl w:val="0"/>
        <w:kinsoku/>
        <w:wordWrap/>
        <w:overflowPunct/>
        <w:topLinePunct w:val="0"/>
        <w:autoSpaceDE/>
        <w:autoSpaceDN/>
        <w:bidi w:val="0"/>
        <w:adjustRightInd/>
        <w:snapToGrid/>
        <w:spacing w:beforeAutospacing="0" w:afterAutospacing="0" w:line="570" w:lineRule="exact"/>
        <w:ind w:left="0" w:leftChars="0" w:firstLine="640" w:firstLineChars="200"/>
        <w:jc w:val="both"/>
        <w:textAlignment w:val="auto"/>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（六）改革成效更加突出。</w:t>
      </w:r>
      <w:r>
        <w:rPr>
          <w:rFonts w:hint="default" w:ascii="仿宋_GB2312" w:hAnsi="仿宋_GB2312" w:eastAsia="仿宋_GB2312" w:cs="仿宋_GB2312"/>
          <w:color w:val="auto"/>
          <w:sz w:val="32"/>
          <w:szCs w:val="32"/>
          <w:rtl w:val="0"/>
          <w:lang w:val="en-US" w:eastAsia="zh-CN"/>
        </w:rPr>
        <w:t>争创省级以上改革成果87项</w:t>
      </w:r>
      <w:r>
        <w:rPr>
          <w:rFonts w:hint="eastAsia" w:ascii="仿宋_GB2312" w:hAnsi="仿宋_GB2312" w:eastAsia="仿宋_GB2312" w:cs="仿宋_GB2312"/>
          <w:color w:val="auto"/>
          <w:sz w:val="32"/>
          <w:szCs w:val="32"/>
          <w:rtl w:val="0"/>
          <w:lang w:val="en-US" w:eastAsia="zh-CN"/>
        </w:rPr>
        <w:t>、改革试点</w:t>
      </w:r>
      <w:r>
        <w:rPr>
          <w:rFonts w:hint="default" w:ascii="仿宋_GB2312" w:hAnsi="仿宋_GB2312" w:eastAsia="仿宋_GB2312" w:cs="仿宋_GB2312"/>
          <w:color w:val="auto"/>
          <w:sz w:val="32"/>
          <w:szCs w:val="32"/>
          <w:rtl w:val="0"/>
          <w:lang w:val="en-US" w:eastAsia="zh-CN"/>
        </w:rPr>
        <w:t>12个</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打造省“两个健康”示范区“青州样板”，全国“万企兴万村”现场会在青州召开。在全省率先推广“无感授信”普惠金融，为</w:t>
      </w:r>
      <w:r>
        <w:rPr>
          <w:rFonts w:hint="eastAsia" w:ascii="仿宋_GB2312" w:hAnsi="仿宋_GB2312" w:eastAsia="仿宋_GB2312" w:cs="仿宋_GB2312"/>
          <w:color w:val="auto"/>
          <w:sz w:val="32"/>
          <w:szCs w:val="32"/>
          <w:rtl w:val="0"/>
          <w:lang w:val="en-US" w:eastAsia="zh-CN"/>
        </w:rPr>
        <w:t>25.7</w:t>
      </w:r>
      <w:r>
        <w:rPr>
          <w:rFonts w:hint="default" w:ascii="仿宋_GB2312" w:hAnsi="仿宋_GB2312" w:eastAsia="仿宋_GB2312" w:cs="仿宋_GB2312"/>
          <w:color w:val="auto"/>
          <w:sz w:val="32"/>
          <w:szCs w:val="32"/>
          <w:rtl w:val="0"/>
          <w:lang w:val="en-US" w:eastAsia="zh-CN"/>
        </w:rPr>
        <w:t>万农村群众授信15</w:t>
      </w:r>
      <w:r>
        <w:rPr>
          <w:rFonts w:hint="eastAsia" w:ascii="仿宋_GB2312" w:hAnsi="仿宋_GB2312" w:eastAsia="仿宋_GB2312" w:cs="仿宋_GB2312"/>
          <w:color w:val="auto"/>
          <w:sz w:val="32"/>
          <w:szCs w:val="32"/>
          <w:rtl w:val="0"/>
          <w:lang w:val="en-US" w:eastAsia="zh-CN"/>
        </w:rPr>
        <w:t>4</w:t>
      </w:r>
      <w:r>
        <w:rPr>
          <w:rFonts w:hint="default" w:ascii="仿宋_GB2312" w:hAnsi="仿宋_GB2312" w:eastAsia="仿宋_GB2312" w:cs="仿宋_GB2312"/>
          <w:color w:val="auto"/>
          <w:sz w:val="32"/>
          <w:szCs w:val="32"/>
          <w:rtl w:val="0"/>
          <w:lang w:val="en-US" w:eastAsia="zh-CN"/>
        </w:rPr>
        <w:t>亿元。长庚养生文化园、亚泰农业</w:t>
      </w:r>
      <w:r>
        <w:rPr>
          <w:rFonts w:hint="eastAsia" w:ascii="仿宋_GB2312" w:hAnsi="仿宋_GB2312" w:eastAsia="仿宋_GB2312" w:cs="仿宋_GB2312"/>
          <w:color w:val="auto"/>
          <w:sz w:val="32"/>
          <w:szCs w:val="32"/>
          <w:rtl w:val="0"/>
          <w:lang w:val="en-US" w:eastAsia="zh-CN"/>
        </w:rPr>
        <w:t>入选国家级标准化试点。创新局长窗口坐班制度，打造“青易办”服务品牌。实施工业项目初审论证。</w:t>
      </w:r>
      <w:r>
        <w:rPr>
          <w:rFonts w:hint="default" w:ascii="仿宋_GB2312" w:hAnsi="仿宋_GB2312" w:eastAsia="仿宋_GB2312" w:cs="仿宋_GB2312"/>
          <w:color w:val="auto"/>
          <w:sz w:val="32"/>
          <w:szCs w:val="32"/>
          <w:rtl w:val="0"/>
          <w:lang w:val="en-US" w:eastAsia="zh-CN"/>
        </w:rPr>
        <w:t>完成年度工业企业“亩产效益”综合评价</w:t>
      </w:r>
      <w:r>
        <w:rPr>
          <w:rFonts w:hint="eastAsia" w:ascii="仿宋_GB2312" w:hAnsi="仿宋_GB2312" w:eastAsia="仿宋_GB2312" w:cs="仿宋_GB2312"/>
          <w:color w:val="auto"/>
          <w:sz w:val="32"/>
          <w:szCs w:val="32"/>
          <w:rtl w:val="0"/>
          <w:lang w:val="en-US" w:eastAsia="zh-CN"/>
        </w:rPr>
        <w:t>。健全政府守信践诺机制，1235名干部联系服务1690家企业、43个重点项目。</w:t>
      </w:r>
      <w:r>
        <w:rPr>
          <w:rFonts w:hint="default" w:ascii="仿宋_GB2312" w:hAnsi="仿宋_GB2312" w:eastAsia="仿宋_GB2312" w:cs="仿宋_GB2312"/>
          <w:color w:val="auto"/>
          <w:sz w:val="32"/>
          <w:szCs w:val="32"/>
          <w:rtl w:val="0"/>
          <w:lang w:val="en-US" w:eastAsia="zh-CN"/>
        </w:rPr>
        <w:t>城市信用综合指数稳居全国前列，获评</w:t>
      </w:r>
      <w:r>
        <w:rPr>
          <w:rFonts w:hint="eastAsia" w:ascii="仿宋_GB2312" w:hAnsi="仿宋_GB2312" w:eastAsia="仿宋_GB2312" w:cs="仿宋_GB2312"/>
          <w:color w:val="auto"/>
          <w:sz w:val="32"/>
          <w:szCs w:val="32"/>
          <w:rtl w:val="0"/>
          <w:lang w:val="en-US" w:eastAsia="zh-CN"/>
        </w:rPr>
        <w:t>省社会信用体系建设典型城市</w:t>
      </w:r>
      <w:r>
        <w:rPr>
          <w:rFonts w:hint="default" w:ascii="仿宋_GB2312" w:hAnsi="仿宋_GB2312" w:eastAsia="仿宋_GB2312" w:cs="仿宋_GB2312"/>
          <w:color w:val="auto"/>
          <w:sz w:val="32"/>
          <w:szCs w:val="32"/>
          <w:rtl w:val="0"/>
          <w:lang w:val="en-US" w:eastAsia="zh-CN"/>
        </w:rPr>
        <w:t>。</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000000"/>
          <w:sz w:val="32"/>
          <w:szCs w:val="32"/>
          <w:rtl w:val="0"/>
          <w:lang w:val="en-US" w:eastAsia="zh-CN"/>
        </w:rPr>
        <w:t>（七）发展底线持续巩固。</w:t>
      </w:r>
      <w:r>
        <w:rPr>
          <w:rFonts w:hint="eastAsia" w:ascii="仿宋_GB2312" w:hAnsi="仿宋_GB2312" w:eastAsia="仿宋_GB2312" w:cs="仿宋_GB2312"/>
          <w:color w:val="auto"/>
          <w:sz w:val="32"/>
          <w:szCs w:val="32"/>
          <w:rtl w:val="0"/>
          <w:lang w:val="en-US" w:eastAsia="zh-CN"/>
        </w:rPr>
        <w:t>多渠道化解处置不良贷款。</w:t>
      </w:r>
      <w:r>
        <w:rPr>
          <w:rFonts w:hint="default" w:ascii="仿宋_GB2312" w:hAnsi="仿宋_GB2312" w:eastAsia="仿宋_GB2312" w:cs="仿宋_GB2312"/>
          <w:color w:val="auto"/>
          <w:sz w:val="32"/>
          <w:szCs w:val="32"/>
          <w:rtl w:val="0"/>
          <w:lang w:val="en-US" w:eastAsia="zh-CN"/>
        </w:rPr>
        <w:t>开展16大领域污染防治攻坚战，</w:t>
      </w:r>
      <w:r>
        <w:rPr>
          <w:rFonts w:hint="eastAsia" w:ascii="仿宋_GB2312" w:hAnsi="仿宋_GB2312" w:eastAsia="仿宋_GB2312" w:cs="仿宋_GB2312"/>
          <w:color w:val="auto"/>
          <w:sz w:val="32"/>
          <w:szCs w:val="32"/>
          <w:rtl w:val="0"/>
          <w:lang w:val="en-US" w:eastAsia="zh-CN"/>
        </w:rPr>
        <w:t>PM2.5同比改善17.8%，全年空气质量优良天数达到264天。完成</w:t>
      </w:r>
      <w:r>
        <w:rPr>
          <w:rFonts w:hint="default" w:ascii="仿宋_GB2312" w:hAnsi="仿宋_GB2312" w:eastAsia="仿宋_GB2312" w:cs="仿宋_GB2312"/>
          <w:color w:val="auto"/>
          <w:sz w:val="32"/>
          <w:szCs w:val="32"/>
          <w:rtl w:val="0"/>
          <w:lang w:val="en-US" w:eastAsia="zh-CN"/>
        </w:rPr>
        <w:t>弥河、淄河美丽幸福示范河湖建设</w:t>
      </w:r>
      <w:r>
        <w:rPr>
          <w:rFonts w:hint="eastAsia" w:ascii="仿宋_GB2312" w:hAnsi="仿宋_GB2312" w:eastAsia="仿宋_GB2312" w:cs="仿宋_GB2312"/>
          <w:color w:val="auto"/>
          <w:sz w:val="32"/>
          <w:szCs w:val="32"/>
          <w:rtl w:val="0"/>
          <w:lang w:val="en-US" w:eastAsia="zh-CN"/>
        </w:rPr>
        <w:t>省级验收</w:t>
      </w:r>
      <w:r>
        <w:rPr>
          <w:rFonts w:hint="default" w:ascii="仿宋_GB2312" w:hAnsi="仿宋_GB2312" w:eastAsia="仿宋_GB2312" w:cs="仿宋_GB2312"/>
          <w:color w:val="auto"/>
          <w:sz w:val="32"/>
          <w:szCs w:val="32"/>
          <w:rtl w:val="0"/>
          <w:lang w:val="en-US" w:eastAsia="zh-CN"/>
        </w:rPr>
        <w:t>。</w:t>
      </w:r>
      <w:r>
        <w:rPr>
          <w:rFonts w:hint="eastAsia" w:ascii="仿宋_GB2312" w:hAnsi="仿宋_GB2312" w:eastAsia="仿宋_GB2312" w:cs="仿宋_GB2312"/>
          <w:color w:val="auto"/>
          <w:sz w:val="32"/>
          <w:szCs w:val="32"/>
          <w:rtl w:val="0"/>
          <w:lang w:val="en-US" w:eastAsia="zh-CN"/>
        </w:rPr>
        <w:t>全面推行“林长制”，国土绿化造林9735亩。</w:t>
      </w:r>
      <w:r>
        <w:rPr>
          <w:rFonts w:hint="default" w:ascii="仿宋_GB2312" w:hAnsi="仿宋_GB2312" w:eastAsia="仿宋_GB2312" w:cs="仿宋_GB2312"/>
          <w:color w:val="auto"/>
          <w:sz w:val="32"/>
          <w:szCs w:val="32"/>
          <w:rtl w:val="0"/>
          <w:lang w:val="en-US" w:eastAsia="zh-CN"/>
        </w:rPr>
        <w:t>621家涉危废企业纳入信息化管理系统，恢复治理废弃矿坑125万平方米。扎实开展安全生产大排查大整治行动</w:t>
      </w:r>
      <w:r>
        <w:rPr>
          <w:rFonts w:hint="eastAsia" w:ascii="仿宋_GB2312" w:hAnsi="仿宋_GB2312" w:eastAsia="仿宋_GB2312" w:cs="仿宋_GB2312"/>
          <w:color w:val="auto"/>
          <w:sz w:val="32"/>
          <w:szCs w:val="32"/>
          <w:rtl w:val="0"/>
          <w:lang w:val="en-US" w:eastAsia="zh-CN"/>
        </w:rPr>
        <w:t>，成立全省首家道路交通事故预防中心</w:t>
      </w:r>
      <w:r>
        <w:rPr>
          <w:rFonts w:hint="default" w:ascii="仿宋_GB2312" w:hAnsi="仿宋_GB2312" w:eastAsia="仿宋_GB2312" w:cs="仿宋_GB2312"/>
          <w:color w:val="auto"/>
          <w:sz w:val="32"/>
          <w:szCs w:val="32"/>
          <w:rtl w:val="0"/>
          <w:lang w:val="en-US" w:eastAsia="zh-CN"/>
        </w:rPr>
        <w:t>。</w:t>
      </w:r>
      <w:r>
        <w:rPr>
          <w:rFonts w:hint="eastAsia" w:ascii="仿宋_GB2312" w:hAnsi="仿宋_GB2312" w:eastAsia="仿宋_GB2312" w:cs="仿宋_GB2312"/>
          <w:color w:val="auto"/>
          <w:sz w:val="32"/>
          <w:szCs w:val="32"/>
          <w:rtl w:val="0"/>
          <w:lang w:val="en-US" w:eastAsia="zh-CN"/>
        </w:rPr>
        <w:t>持续化解社会矛盾，建成市级一站式矛盾纠纷调处中心、无讼超市。深入开展扫黑除恶专项斗争，持续推进平安青州建设。强化粮食安全，完成13357吨政策性小麦轮换。</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default"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auto"/>
          <w:sz w:val="32"/>
          <w:szCs w:val="32"/>
          <w:lang w:val="en-US" w:eastAsia="zh-CN"/>
        </w:rPr>
        <w:t>（八）民生福祉持续增进。</w:t>
      </w:r>
      <w:r>
        <w:rPr>
          <w:rFonts w:hint="eastAsia" w:ascii="仿宋_GB2312" w:hAnsi="仿宋_GB2312" w:eastAsia="仿宋_GB2312" w:cs="仿宋_GB2312"/>
          <w:color w:val="auto"/>
          <w:sz w:val="32"/>
          <w:szCs w:val="32"/>
          <w:rtl w:val="0"/>
          <w:lang w:val="en-US" w:eastAsia="zh-CN"/>
        </w:rPr>
        <w:t>“六保”工作卓有成效，各项民生支出达80.9%，</w:t>
      </w:r>
      <w:r>
        <w:rPr>
          <w:rFonts w:hint="default" w:ascii="仿宋_GB2312" w:hAnsi="仿宋_GB2312" w:eastAsia="仿宋_GB2312" w:cs="仿宋_GB2312"/>
          <w:color w:val="auto"/>
          <w:sz w:val="32"/>
          <w:szCs w:val="32"/>
          <w:rtl w:val="0"/>
          <w:lang w:val="en-US" w:eastAsia="zh-CN"/>
        </w:rPr>
        <w:t>10件民生实事全部完成</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启用潍坊首家零工客栈，实现城镇新增就业9</w:t>
      </w:r>
      <w:r>
        <w:rPr>
          <w:rFonts w:hint="eastAsia" w:ascii="仿宋_GB2312" w:hAnsi="仿宋_GB2312" w:eastAsia="仿宋_GB2312" w:cs="仿宋_GB2312"/>
          <w:color w:val="auto"/>
          <w:sz w:val="32"/>
          <w:szCs w:val="32"/>
          <w:rtl w:val="0"/>
          <w:lang w:val="en-US" w:eastAsia="zh-CN"/>
        </w:rPr>
        <w:t>800余</w:t>
      </w:r>
      <w:r>
        <w:rPr>
          <w:rFonts w:hint="default" w:ascii="仿宋_GB2312" w:hAnsi="仿宋_GB2312" w:eastAsia="仿宋_GB2312" w:cs="仿宋_GB2312"/>
          <w:color w:val="auto"/>
          <w:sz w:val="32"/>
          <w:szCs w:val="32"/>
          <w:rtl w:val="0"/>
          <w:lang w:val="en-US" w:eastAsia="zh-CN"/>
        </w:rPr>
        <w:t>人</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城镇登记失业率控制在1.36%。新建、改扩建中小学、幼儿园20处，课后服务覆盖124处学校，创建为首批省级智慧教育示范区。累计接种新冠疫苗</w:t>
      </w:r>
      <w:r>
        <w:rPr>
          <w:rFonts w:hint="eastAsia" w:ascii="仿宋_GB2312" w:hAnsi="仿宋_GB2312" w:eastAsia="仿宋_GB2312" w:cs="仿宋_GB2312"/>
          <w:color w:val="auto"/>
          <w:sz w:val="32"/>
          <w:szCs w:val="32"/>
          <w:rtl w:val="0"/>
          <w:lang w:val="en-US" w:eastAsia="zh-CN"/>
        </w:rPr>
        <w:t>230.4</w:t>
      </w:r>
      <w:r>
        <w:rPr>
          <w:rFonts w:hint="default" w:ascii="仿宋_GB2312" w:hAnsi="仿宋_GB2312" w:eastAsia="仿宋_GB2312" w:cs="仿宋_GB2312"/>
          <w:color w:val="auto"/>
          <w:sz w:val="32"/>
          <w:szCs w:val="32"/>
          <w:rtl w:val="0"/>
          <w:lang w:val="en-US" w:eastAsia="zh-CN"/>
        </w:rPr>
        <w:t>万剂次，保持“零确诊、零疑似”。中心医院新院建成启用。获评全国康养百强县。</w:t>
      </w:r>
      <w:r>
        <w:rPr>
          <w:rFonts w:hint="eastAsia" w:ascii="仿宋_GB2312" w:hAnsi="仿宋_GB2312" w:eastAsia="仿宋_GB2312" w:cs="仿宋_GB2312"/>
          <w:color w:val="auto"/>
          <w:sz w:val="32"/>
          <w:szCs w:val="32"/>
          <w:rtl w:val="0"/>
          <w:lang w:val="en-US" w:eastAsia="zh-CN"/>
        </w:rPr>
        <w:t>顺利</w:t>
      </w:r>
      <w:r>
        <w:rPr>
          <w:rFonts w:hint="default" w:ascii="仿宋_GB2312" w:hAnsi="仿宋_GB2312" w:eastAsia="仿宋_GB2312" w:cs="仿宋_GB2312"/>
          <w:color w:val="auto"/>
          <w:sz w:val="32"/>
          <w:szCs w:val="32"/>
          <w:rtl w:val="0"/>
          <w:lang w:val="en-US" w:eastAsia="zh-CN"/>
        </w:rPr>
        <w:t>通过</w:t>
      </w:r>
      <w:r>
        <w:rPr>
          <w:rFonts w:hint="eastAsia" w:ascii="仿宋_GB2312" w:hAnsi="仿宋_GB2312" w:eastAsia="仿宋_GB2312" w:cs="仿宋_GB2312"/>
          <w:color w:val="auto"/>
          <w:sz w:val="32"/>
          <w:szCs w:val="32"/>
          <w:rtl w:val="0"/>
          <w:lang w:val="en-US" w:eastAsia="zh-CN"/>
        </w:rPr>
        <w:t>全国文明城市、</w:t>
      </w:r>
      <w:r>
        <w:rPr>
          <w:rFonts w:hint="default" w:ascii="仿宋_GB2312" w:hAnsi="仿宋_GB2312" w:eastAsia="仿宋_GB2312" w:cs="仿宋_GB2312"/>
          <w:color w:val="auto"/>
          <w:sz w:val="32"/>
          <w:szCs w:val="32"/>
          <w:rtl w:val="0"/>
          <w:lang w:val="en-US" w:eastAsia="zh-CN"/>
        </w:rPr>
        <w:t>国家卫生城市复审。王母宫社区创建为全国首批示范性老年友好型社区。</w:t>
      </w:r>
      <w:r>
        <w:rPr>
          <w:rFonts w:hint="eastAsia" w:ascii="仿宋_GB2312" w:hAnsi="仿宋_GB2312" w:eastAsia="仿宋_GB2312" w:cs="仿宋_GB2312"/>
          <w:color w:val="auto"/>
          <w:sz w:val="32"/>
          <w:szCs w:val="32"/>
          <w:rtl w:val="0"/>
          <w:lang w:val="en-US" w:eastAsia="zh-CN"/>
        </w:rPr>
        <w:t>高质量完成第七次全国人口普查。双拥共建、退役军人、人民防空、国防动员和民兵预备役建设工作不断加强，妇女儿童、残疾人、慈善事业持续发展，民族、宗教、港澳台、外事侨务、统计、知识产权、史志档案、物价稳控、气象、体育、防震减灾、信访稳定等工作取得新进展。</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tl w:val="0"/>
          <w:lang w:val="en-US" w:eastAsia="zh-CN"/>
        </w:rPr>
      </w:pPr>
      <w:r>
        <w:rPr>
          <w:rFonts w:hint="eastAsia" w:ascii="仿宋_GB2312" w:hAnsi="仿宋_GB2312" w:eastAsia="仿宋_GB2312" w:cs="仿宋_GB2312"/>
          <w:color w:val="auto"/>
          <w:sz w:val="32"/>
          <w:szCs w:val="32"/>
          <w:rtl w:val="0"/>
          <w:lang w:val="en-US" w:eastAsia="zh-CN"/>
        </w:rPr>
        <w:t>2021年，在严峻的疫情防控形势下，全市经济社会发展取得较好成绩，这得益于市委、市政府坚决贯彻中央、省委省政府、潍坊市委市政府决策部署，带领全市人民攻坚克难；得益于各级各部门及时出台和落实各项政策措施；得益于全市企业克服困难、砥砺前行。成绩来之不易，需要倍加珍惜。同时，也要清醒地看到，与高质量发展的要求相比，我市还存在一些问题和不足：受</w:t>
      </w:r>
      <w:r>
        <w:rPr>
          <w:rFonts w:hint="default" w:ascii="仿宋_GB2312" w:hAnsi="仿宋_GB2312" w:eastAsia="仿宋_GB2312" w:cs="仿宋_GB2312"/>
          <w:color w:val="auto"/>
          <w:sz w:val="32"/>
          <w:szCs w:val="32"/>
          <w:rtl w:val="0"/>
          <w:lang w:val="en-US" w:eastAsia="zh-CN"/>
        </w:rPr>
        <w:t>新冠肺炎疫情</w:t>
      </w:r>
      <w:r>
        <w:rPr>
          <w:rFonts w:hint="eastAsia" w:ascii="仿宋_GB2312" w:hAnsi="仿宋_GB2312" w:eastAsia="仿宋_GB2312" w:cs="仿宋_GB2312"/>
          <w:color w:val="auto"/>
          <w:sz w:val="32"/>
          <w:szCs w:val="32"/>
          <w:rtl w:val="0"/>
          <w:lang w:val="en-US" w:eastAsia="zh-CN"/>
        </w:rPr>
        <w:t>影响经济社会发展存在诸多不稳定性不确定性；创新驱动发展依然严峻，绿色</w:t>
      </w:r>
      <w:r>
        <w:rPr>
          <w:rFonts w:hint="default" w:ascii="仿宋_GB2312" w:hAnsi="仿宋_GB2312" w:eastAsia="仿宋_GB2312" w:cs="仿宋_GB2312"/>
          <w:color w:val="auto"/>
          <w:sz w:val="32"/>
          <w:szCs w:val="32"/>
          <w:rtl w:val="0"/>
          <w:lang w:val="en-US" w:eastAsia="zh-CN"/>
        </w:rPr>
        <w:t>转型发展依然艰巨</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土地、能源</w:t>
      </w:r>
      <w:r>
        <w:rPr>
          <w:rFonts w:hint="eastAsia" w:ascii="仿宋_GB2312" w:hAnsi="仿宋_GB2312" w:eastAsia="仿宋_GB2312" w:cs="仿宋_GB2312"/>
          <w:color w:val="auto"/>
          <w:sz w:val="32"/>
          <w:szCs w:val="32"/>
          <w:rtl w:val="0"/>
          <w:lang w:val="en-US" w:eastAsia="zh-CN"/>
        </w:rPr>
        <w:t>等要素制约依然明显，资源环境约束日益趋紧；</w:t>
      </w:r>
      <w:r>
        <w:rPr>
          <w:rFonts w:hint="default" w:ascii="仿宋_GB2312" w:hAnsi="仿宋_GB2312" w:eastAsia="仿宋_GB2312" w:cs="仿宋_GB2312"/>
          <w:color w:val="auto"/>
          <w:sz w:val="32"/>
          <w:szCs w:val="32"/>
          <w:rtl w:val="0"/>
          <w:lang w:val="en-US" w:eastAsia="zh-CN"/>
        </w:rPr>
        <w:t>营商环境</w:t>
      </w:r>
      <w:r>
        <w:rPr>
          <w:rFonts w:hint="eastAsia" w:ascii="仿宋_GB2312" w:hAnsi="仿宋_GB2312" w:eastAsia="仿宋_GB2312" w:cs="仿宋_GB2312"/>
          <w:color w:val="auto"/>
          <w:sz w:val="32"/>
          <w:szCs w:val="32"/>
          <w:rtl w:val="0"/>
          <w:lang w:val="en-US" w:eastAsia="zh-CN"/>
        </w:rPr>
        <w:t>等重点改革领域</w:t>
      </w:r>
      <w:r>
        <w:rPr>
          <w:rFonts w:hint="default" w:ascii="仿宋_GB2312" w:hAnsi="仿宋_GB2312" w:eastAsia="仿宋_GB2312" w:cs="仿宋_GB2312"/>
          <w:color w:val="auto"/>
          <w:sz w:val="32"/>
          <w:szCs w:val="32"/>
          <w:rtl w:val="0"/>
          <w:lang w:val="en-US" w:eastAsia="zh-CN"/>
        </w:rPr>
        <w:t>有待进一步优化</w:t>
      </w:r>
      <w:r>
        <w:rPr>
          <w:rFonts w:hint="eastAsia" w:ascii="仿宋_GB2312" w:hAnsi="仿宋_GB2312" w:eastAsia="仿宋_GB2312" w:cs="仿宋_GB2312"/>
          <w:color w:val="auto"/>
          <w:sz w:val="32"/>
          <w:szCs w:val="32"/>
          <w:rtl w:val="0"/>
          <w:lang w:val="en-US" w:eastAsia="zh-CN"/>
        </w:rPr>
        <w:t>；城乡区域发展仍不平衡，</w:t>
      </w:r>
      <w:r>
        <w:rPr>
          <w:rFonts w:hint="default" w:ascii="仿宋_GB2312" w:hAnsi="仿宋_GB2312" w:eastAsia="仿宋_GB2312" w:cs="仿宋_GB2312"/>
          <w:color w:val="auto"/>
          <w:sz w:val="32"/>
          <w:szCs w:val="32"/>
          <w:rtl w:val="0"/>
          <w:lang w:val="en-US" w:eastAsia="zh-CN"/>
        </w:rPr>
        <w:t>公共服务、民生保障与群众期盼仍有差距</w:t>
      </w:r>
      <w:r>
        <w:rPr>
          <w:rFonts w:hint="eastAsia" w:ascii="仿宋_GB2312" w:hAnsi="仿宋_GB2312" w:eastAsia="仿宋_GB2312" w:cs="仿宋_GB2312"/>
          <w:color w:val="auto"/>
          <w:sz w:val="32"/>
          <w:szCs w:val="32"/>
          <w:rtl w:val="0"/>
          <w:lang w:val="en-US" w:eastAsia="zh-CN"/>
        </w:rPr>
        <w:t>；干部作风和能力建设仍需进一步提高等。对此，我们要高度重视，切实采取有力措施，认真加以解决。</w:t>
      </w:r>
    </w:p>
    <w:p>
      <w:pPr>
        <w:keepNext w:val="0"/>
        <w:keepLines w:val="0"/>
        <w:pageBreakBefore w:val="0"/>
        <w:widowControl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二、2022年经济社会发展的总体要求</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tl w:val="0"/>
          <w:lang w:val="en-US" w:eastAsia="zh-CN"/>
        </w:rPr>
      </w:pPr>
      <w:r>
        <w:rPr>
          <w:rFonts w:hint="eastAsia" w:ascii="仿宋_GB2312" w:hAnsi="仿宋_GB2312" w:eastAsia="仿宋_GB2312" w:cs="仿宋_GB2312"/>
          <w:color w:val="auto"/>
          <w:sz w:val="32"/>
          <w:szCs w:val="32"/>
          <w:rtl w:val="0"/>
          <w:lang w:val="en-US" w:eastAsia="zh-CN"/>
        </w:rPr>
        <w:t>坚持以习近平新时代中国特色社会主义思想为指导，全面贯彻党的十九大和十九届历次全会精神，深入贯彻习近平总书记视察山东重要指示要求，锚定“三个走在前”总遵循、总定位、总航标，弘扬伟大建党精神，统筹推进“五位一体”总体布局，协调推进“四个全面”战略布局，坚持稳中求进工作总基调，立足新发展阶段，完整、准确、全面贯彻新发展理念，主动服务和融入新发展格局，着力推动高质量发展，着力促进共同富裕，更好统筹发展和安全，坚定信心、砥砺前行，全力推动千年古城新崛起，努力在社会主义现代化建设新征程中走在前列。</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tl w:val="0"/>
          <w:lang w:val="en-US" w:eastAsia="zh-CN"/>
        </w:rPr>
      </w:pPr>
      <w:r>
        <w:rPr>
          <w:rFonts w:hint="eastAsia" w:ascii="仿宋_GB2312" w:hAnsi="仿宋_GB2312" w:eastAsia="仿宋_GB2312" w:cs="仿宋_GB2312"/>
          <w:color w:val="auto"/>
          <w:sz w:val="32"/>
          <w:szCs w:val="32"/>
          <w:rtl w:val="0"/>
          <w:lang w:val="en-US" w:eastAsia="zh-CN"/>
        </w:rPr>
        <w:t>在实现路径上，坚持“一一二四六五”基本工作思路，即坚持和加强党的建设“一个统领”，围绕奋勇争先加快高质量发展、全力推动千年古城新崛起“一个目标”，突出工业强市、金融兴市“两大战略”，高标准打造文化旅游、现代花卉、医养健康、商贸物流“四大优势”，抓牢乡村振兴、城市更新、双招双引、改革开放、科技创新、民生改善“六大任务”，强化作风建设、安全生产、社会稳定、生态环保、营商环境“五项保障”，奋力建设生态、活力、精致、富裕的现代化美丽青州。</w:t>
      </w:r>
    </w:p>
    <w:p>
      <w:pPr>
        <w:keepNext w:val="0"/>
        <w:keepLines w:val="0"/>
        <w:pageBreakBefore w:val="0"/>
        <w:widowControl w:val="0"/>
        <w:kinsoku/>
        <w:wordWrap/>
        <w:overflowPunct/>
        <w:topLinePunct w:val="0"/>
        <w:autoSpaceDE/>
        <w:autoSpaceDN/>
        <w:bidi w:val="0"/>
        <w:adjustRightInd/>
        <w:snapToGrid/>
        <w:spacing w:before="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tl w:val="0"/>
          <w:lang w:val="en-US" w:eastAsia="zh-CN"/>
        </w:rPr>
      </w:pPr>
      <w:r>
        <w:rPr>
          <w:rFonts w:hint="eastAsia" w:ascii="仿宋_GB2312" w:hAnsi="仿宋_GB2312" w:eastAsia="仿宋_GB2312" w:cs="仿宋_GB2312"/>
          <w:color w:val="auto"/>
          <w:sz w:val="32"/>
          <w:szCs w:val="32"/>
          <w:rtl w:val="0"/>
          <w:lang w:val="en-US" w:eastAsia="zh-CN"/>
        </w:rPr>
        <w:t>2022年经济社会发展的主要预期目标是：地区生产总值增长8%左右，一般公共预算收入增长7%左右，固定资产投资增长7%左右；全面完成省和潍坊市下达的节能减排和环境改善目标。</w:t>
      </w:r>
    </w:p>
    <w:p>
      <w:pPr>
        <w:keepNext w:val="0"/>
        <w:keepLines w:val="0"/>
        <w:pageBreakBefore w:val="0"/>
        <w:widowControl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三、2022年经济社会主要任务和重点工作</w:t>
      </w:r>
    </w:p>
    <w:p>
      <w:pPr>
        <w:keepNext w:val="0"/>
        <w:keepLines w:val="0"/>
        <w:pageBreakBefore w:val="0"/>
        <w:widowControl w:val="0"/>
        <w:suppressLineNumbers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eastAsia" w:ascii="楷体_GB2312" w:hAnsi="楷体_GB2312" w:eastAsia="楷体_GB2312" w:cs="楷体_GB2312"/>
          <w:color w:val="000000"/>
          <w:kern w:val="0"/>
          <w:sz w:val="32"/>
          <w:szCs w:val="32"/>
          <w:lang w:val="en-US" w:eastAsia="zh-CN" w:bidi="ar"/>
        </w:rPr>
        <w:t>（一）加快实施两大核心战略。</w:t>
      </w:r>
      <w:r>
        <w:rPr>
          <w:rFonts w:hint="eastAsia" w:ascii="仿宋_GB2312" w:hAnsi="仿宋_GB2312" w:eastAsia="仿宋_GB2312" w:cs="仿宋_GB2312"/>
          <w:b/>
          <w:bCs/>
          <w:color w:val="000000"/>
          <w:kern w:val="0"/>
          <w:sz w:val="32"/>
          <w:szCs w:val="32"/>
          <w:lang w:val="en-US" w:eastAsia="zh-CN" w:bidi="ar"/>
        </w:rPr>
        <w:t>一是</w:t>
      </w:r>
      <w:r>
        <w:rPr>
          <w:rFonts w:hint="eastAsia" w:ascii="仿宋_GB2312" w:hAnsi="仿宋_GB2312" w:eastAsia="仿宋_GB2312" w:cs="仿宋_GB2312"/>
          <w:b/>
          <w:bCs/>
          <w:sz w:val="32"/>
          <w:szCs w:val="32"/>
          <w:lang w:val="en-US" w:eastAsia="zh-CN"/>
        </w:rPr>
        <w:t>实施</w:t>
      </w:r>
      <w:r>
        <w:rPr>
          <w:rFonts w:hint="eastAsia" w:ascii="仿宋_GB2312" w:hAnsi="仿宋_GB2312" w:eastAsia="仿宋_GB2312" w:cs="仿宋_GB2312"/>
          <w:b/>
          <w:bCs/>
          <w:color w:val="000000"/>
          <w:kern w:val="0"/>
          <w:sz w:val="32"/>
          <w:szCs w:val="32"/>
          <w:lang w:val="en-US" w:eastAsia="zh-CN" w:bidi="ar"/>
        </w:rPr>
        <w:t>工业强市</w:t>
      </w:r>
      <w:r>
        <w:rPr>
          <w:rFonts w:hint="eastAsia" w:ascii="仿宋_GB2312" w:hAnsi="仿宋_GB2312" w:eastAsia="仿宋_GB2312" w:cs="仿宋_GB2312"/>
          <w:b/>
          <w:bCs/>
          <w:sz w:val="32"/>
          <w:szCs w:val="32"/>
          <w:lang w:val="en-US" w:eastAsia="zh-CN"/>
        </w:rPr>
        <w:t>战略</w:t>
      </w:r>
      <w:r>
        <w:rPr>
          <w:rFonts w:hint="eastAsia" w:ascii="仿宋_GB2312" w:hAnsi="仿宋_GB2312" w:eastAsia="仿宋_GB2312" w:cs="仿宋_GB2312"/>
          <w:b/>
          <w:bCs/>
          <w:color w:val="000000"/>
          <w:kern w:val="0"/>
          <w:sz w:val="32"/>
          <w:szCs w:val="32"/>
          <w:lang w:val="en-US" w:eastAsia="zh-CN" w:bidi="ar"/>
        </w:rPr>
        <w:t>。</w:t>
      </w:r>
      <w:r>
        <w:rPr>
          <w:rFonts w:hint="eastAsia" w:ascii="仿宋_GB2312" w:hAnsi="仿宋_GB2312" w:eastAsia="仿宋_GB2312" w:cs="仿宋_GB2312"/>
          <w:color w:val="auto"/>
          <w:sz w:val="32"/>
          <w:szCs w:val="32"/>
          <w:rtl w:val="0"/>
          <w:lang w:val="en-US" w:eastAsia="zh-CN"/>
        </w:rPr>
        <w:t>围绕工业“二六十百”工程，突出高端化工等优势产业，确定市级“链长”和企业“链主”，实施“一链一策”，优先保障要素需求。实施中小企业“育苗扶壮”计划，新增规模企业30家，培育市场领军企业、创新标杆企业等20家以上。重点推进中化弘润高端聚丙烯新材料、卡特彼勒宽体矿车、宇信高端机床精密铸件等项目建设，完成项目投资100亿元以上、投产达效30个以上。依托卡奥斯工业互联网、新松智能制造等平台，加快英科医疗、中联水泥智能工厂等项目建设，打造一批智能制造示范项目。大力发展新天保智慧供应链等平台经济，培育形成新的经济增长点。建设智能制造产业园等园区，聚力打造产业发展高地。</w:t>
      </w:r>
      <w:r>
        <w:rPr>
          <w:rFonts w:hint="eastAsia" w:ascii="仿宋_GB2312" w:hAnsi="仿宋_GB2312" w:eastAsia="仿宋_GB2312" w:cs="仿宋_GB2312"/>
          <w:b/>
          <w:bCs/>
          <w:sz w:val="32"/>
          <w:szCs w:val="32"/>
          <w:lang w:val="en-US" w:eastAsia="zh-CN"/>
        </w:rPr>
        <w:t>二是实施金融兴市战略。</w:t>
      </w:r>
      <w:r>
        <w:rPr>
          <w:rFonts w:hint="eastAsia" w:ascii="仿宋_GB2312" w:hAnsi="仿宋_GB2312" w:eastAsia="仿宋_GB2312" w:cs="仿宋_GB2312"/>
          <w:color w:val="auto"/>
          <w:sz w:val="32"/>
          <w:szCs w:val="32"/>
          <w:rtl w:val="0"/>
          <w:lang w:val="en-US" w:eastAsia="zh-CN"/>
        </w:rPr>
        <w:t>深化国有企业市场化和股权化改革，成立政府引导母基金，加快设立种子基金、创投基金、私募股权基金，重点支持机械装备、汽车及零部件、高端化工、文化旅游等优势产业。做大做强地方法人金融机构，提升银行、保险、证券等传统金融服务功能，打造金融全链条投融资体系。实施“上市梯次培育”工程，培育上市后备资源企业30家以上，推进亚泰机械、晨宇电气等企业上市，年内实现凯欣股份北交所上市，形成资本市场“青州板块”。释放普惠金融供给潜力，巩固提升“无感授信”模式，力争授信全覆盖。用好各种货币政策，新增贷款突破100亿元。着力高端金融人才引育，建立青州金融智库。实施“企业金融辅导员”制度，争取“金融管家”试点，全力提升金融服务质效。</w:t>
      </w:r>
    </w:p>
    <w:p>
      <w:pPr>
        <w:keepNext w:val="0"/>
        <w:keepLines w:val="0"/>
        <w:pageBreakBefore w:val="0"/>
        <w:widowControl w:val="0"/>
        <w:numPr>
          <w:ilvl w:val="0"/>
          <w:numId w:val="0"/>
        </w:numPr>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eastAsia" w:ascii="Times New Roman" w:hAnsi="Times New Roman" w:eastAsia="楷体_GB2312" w:cs="Times New Roman"/>
          <w:sz w:val="32"/>
          <w:szCs w:val="32"/>
          <w:lang w:val="en-US" w:eastAsia="zh-CN"/>
        </w:rPr>
        <w:t>（二）高标准塑强四大优势产业。</w:t>
      </w:r>
      <w:r>
        <w:rPr>
          <w:rFonts w:hint="eastAsia" w:ascii="仿宋_GB2312" w:hAnsi="仿宋_GB2312" w:eastAsia="仿宋_GB2312" w:cs="仿宋_GB2312"/>
          <w:b/>
          <w:bCs/>
          <w:sz w:val="32"/>
          <w:szCs w:val="32"/>
          <w:lang w:val="en-US" w:eastAsia="zh-CN"/>
        </w:rPr>
        <w:t>一是突出文化旅游特色优势。</w:t>
      </w:r>
      <w:r>
        <w:rPr>
          <w:rFonts w:hint="eastAsia" w:ascii="仿宋_GB2312" w:hAnsi="仿宋_GB2312" w:eastAsia="仿宋_GB2312" w:cs="仿宋_GB2312"/>
          <w:color w:val="auto"/>
          <w:sz w:val="32"/>
          <w:szCs w:val="32"/>
          <w:rtl w:val="0"/>
          <w:lang w:val="en-US" w:eastAsia="zh-CN"/>
        </w:rPr>
        <w:t>改造东关历史文化街区，持续提升九龙峪等重点项目，推动云门山省级旅游度假区创建国家级旅游度假区。庙子镇争创省级旅游民宿集聚区。打造齐文化阐发、保护与展示基地，深度融入齐鲁文化（潍坊）生态保护区建设。着力打造“千年古城 信美青州”文化旅游目的地。</w:t>
      </w:r>
      <w:r>
        <w:rPr>
          <w:rFonts w:hint="eastAsia" w:ascii="仿宋_GB2312" w:hAnsi="仿宋_GB2312" w:eastAsia="仿宋_GB2312" w:cs="仿宋_GB2312"/>
          <w:b/>
          <w:bCs/>
          <w:sz w:val="32"/>
          <w:szCs w:val="32"/>
          <w:lang w:val="en-US" w:eastAsia="zh-CN"/>
        </w:rPr>
        <w:t>二是突出现代花卉特色优势。</w:t>
      </w:r>
      <w:r>
        <w:rPr>
          <w:rFonts w:hint="eastAsia" w:ascii="仿宋_GB2312" w:hAnsi="仿宋_GB2312" w:eastAsia="仿宋_GB2312" w:cs="仿宋_GB2312"/>
          <w:color w:val="auto"/>
          <w:sz w:val="32"/>
          <w:szCs w:val="32"/>
          <w:rtl w:val="0"/>
          <w:lang w:val="en-US" w:eastAsia="zh-CN"/>
        </w:rPr>
        <w:t>建设花卉高科技产业园和宏源花卉乡村振兴产业学院，引进花卉新品种22个以上，种苗生产突破7000万株。完善花卉大数据平台，提升花卉电商产业园，建设300个精品直播间和5公里直播产业带，打造花卉直播电商矩阵。</w:t>
      </w:r>
      <w:r>
        <w:rPr>
          <w:rFonts w:hint="eastAsia" w:ascii="仿宋_GB2312" w:hAnsi="仿宋_GB2312" w:eastAsia="仿宋_GB2312" w:cs="仿宋_GB2312"/>
          <w:b/>
          <w:bCs/>
          <w:sz w:val="32"/>
          <w:szCs w:val="32"/>
          <w:lang w:val="en-US" w:eastAsia="zh-CN"/>
        </w:rPr>
        <w:t>三是突出医养健康特色优势。</w:t>
      </w:r>
      <w:r>
        <w:rPr>
          <w:rFonts w:hint="eastAsia" w:ascii="仿宋_GB2312" w:hAnsi="仿宋_GB2312" w:eastAsia="仿宋_GB2312" w:cs="仿宋_GB2312"/>
          <w:color w:val="auto"/>
          <w:sz w:val="32"/>
          <w:szCs w:val="32"/>
          <w:rtl w:val="0"/>
          <w:lang w:val="en-US" w:eastAsia="zh-CN"/>
        </w:rPr>
        <w:t>推进东篱居认知康复家园等项目建设，规划建设中医药健康产业园。依托智慧养老服务信息平台，优化社区养老服务布局，提供融合式、便捷式医养健康服务。推动中心医院新院高效运转，妇幼保健院新院投入使用，打造区域医疗中心。加快体卫融合试点，争创国家级健康市。</w:t>
      </w:r>
      <w:r>
        <w:rPr>
          <w:rFonts w:hint="eastAsia" w:ascii="仿宋_GB2312" w:hAnsi="仿宋_GB2312" w:eastAsia="仿宋_GB2312" w:cs="仿宋_GB2312"/>
          <w:b/>
          <w:bCs/>
          <w:sz w:val="32"/>
          <w:szCs w:val="32"/>
          <w:lang w:val="en-US" w:eastAsia="zh-CN"/>
        </w:rPr>
        <w:t>四是突出商贸物流特色优势。</w:t>
      </w:r>
      <w:r>
        <w:rPr>
          <w:rFonts w:hint="eastAsia" w:ascii="仿宋_GB2312" w:hAnsi="仿宋_GB2312" w:eastAsia="仿宋_GB2312" w:cs="仿宋_GB2312"/>
          <w:color w:val="auto"/>
          <w:sz w:val="32"/>
          <w:szCs w:val="32"/>
          <w:rtl w:val="0"/>
          <w:lang w:val="en-US" w:eastAsia="zh-CN"/>
        </w:rPr>
        <w:t>加快建设公铁物流园等项目，培育壮大具有核心竞争力的现代流通企业。完善国际陆港服务功能，打造“公铁海”三位一体多式联运内陆港。建设市级仓储物流配送和电子商务公共服务中心，畅通农产品进城和工业品下乡双向流通渠道，打造县镇村三级电商物流服务体系。</w:t>
      </w:r>
    </w:p>
    <w:p>
      <w:pPr>
        <w:keepNext w:val="0"/>
        <w:keepLines w:val="0"/>
        <w:pageBreakBefore w:val="0"/>
        <w:widowControl w:val="0"/>
        <w:kinsoku/>
        <w:wordWrap/>
        <w:overflowPunct/>
        <w:topLinePunct w:val="0"/>
        <w:autoSpaceDE/>
        <w:autoSpaceDN/>
        <w:bidi w:val="0"/>
        <w:adjustRightInd w:val="0"/>
        <w:snapToGrid w:val="0"/>
        <w:spacing w:line="570" w:lineRule="exact"/>
        <w:ind w:left="0" w:leftChars="0" w:firstLine="640" w:firstLineChars="200"/>
        <w:jc w:val="both"/>
        <w:textAlignment w:val="auto"/>
        <w:rPr>
          <w:rFonts w:hint="eastAsia" w:ascii="仿宋_GB2312" w:hAnsi="仿宋_GB2312" w:eastAsia="仿宋_GB2312" w:cs="仿宋_GB2312"/>
          <w:sz w:val="32"/>
          <w:szCs w:val="32"/>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全面推进农业农村现代化。</w:t>
      </w:r>
      <w:r>
        <w:rPr>
          <w:rFonts w:hint="eastAsia" w:ascii="仿宋_GB2312" w:hAnsi="仿宋_GB2312" w:eastAsia="仿宋_GB2312" w:cs="仿宋_GB2312"/>
          <w:color w:val="auto"/>
          <w:sz w:val="32"/>
          <w:szCs w:val="32"/>
          <w:rtl w:val="0"/>
          <w:lang w:val="en-US" w:eastAsia="zh-CN"/>
        </w:rPr>
        <w:t>实施智能化设施农业提升工程，推进高标准农田建设管护。推进山楂精深加工产业升级，申报国家现代农业产业园，打造现代设施瓜菜产业集群。年内新认证“三品一标”品牌10个以上。新增流转土地1.4万亩。支持华盛、天成等企业建设现代种业创新发展集群。保护生猪基础产能，培育特色畜产品品牌。全面开展土地“两清”，提高土地利用效益。深入开展农村人居环境整治提升行动，加快农村清洁取暖和厕所改造，按期完成农村黑臭水体和生活污水治理，积极创建省级美丽乡村示范村。全面普及化肥农药减量技术。开展新一轮农村供水改造，加快东部水厂和益都水厂建设。推动巩固拓展脱贫攻坚成果同乡村振兴有效衔接，扎实开展“五清强基”回头看，实施村集体经济提质增效行动，消除村集体经济年收入5万元以下村，80％以上的村达到10万元以上。</w:t>
      </w:r>
    </w:p>
    <w:p>
      <w:pPr>
        <w:keepNext w:val="0"/>
        <w:keepLines w:val="0"/>
        <w:pageBreakBefore w:val="0"/>
        <w:widowControl w:val="0"/>
        <w:kinsoku/>
        <w:wordWrap/>
        <w:overflowPunct/>
        <w:topLinePunct w:val="0"/>
        <w:autoSpaceDE/>
        <w:autoSpaceDN/>
        <w:bidi w:val="0"/>
        <w:adjustRightInd w:val="0"/>
        <w:snapToGrid w:val="0"/>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四</w:t>
      </w: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着力提升</w:t>
      </w:r>
      <w:r>
        <w:rPr>
          <w:rFonts w:hint="default" w:ascii="Times New Roman" w:hAnsi="Times New Roman" w:eastAsia="楷体_GB2312" w:cs="Times New Roman"/>
          <w:sz w:val="32"/>
          <w:szCs w:val="32"/>
          <w:lang w:val="en-US" w:eastAsia="zh-CN"/>
        </w:rPr>
        <w:t>城市品质</w:t>
      </w:r>
      <w:r>
        <w:rPr>
          <w:rFonts w:hint="eastAsia" w:ascii="Times New Roman" w:hAnsi="Times New Roman" w:eastAsia="楷体_GB2312" w:cs="Times New Roman"/>
          <w:sz w:val="32"/>
          <w:szCs w:val="32"/>
          <w:lang w:val="en-US" w:eastAsia="zh-CN"/>
        </w:rPr>
        <w:t>。</w:t>
      </w:r>
      <w:r>
        <w:rPr>
          <w:rFonts w:hint="eastAsia" w:ascii="仿宋_GB2312" w:hAnsi="仿宋_GB2312" w:eastAsia="仿宋_GB2312" w:cs="仿宋_GB2312"/>
          <w:color w:val="auto"/>
          <w:sz w:val="32"/>
          <w:szCs w:val="32"/>
          <w:rtl w:val="0"/>
          <w:lang w:val="en-US" w:eastAsia="zh-CN"/>
        </w:rPr>
        <w:t>完善国土空间规划编制体系，编制城市特色风貌专项规划。提升城市精致节点，</w:t>
      </w:r>
      <w:r>
        <w:rPr>
          <w:rFonts w:hint="default" w:ascii="仿宋_GB2312" w:hAnsi="仿宋_GB2312" w:eastAsia="仿宋_GB2312" w:cs="仿宋_GB2312"/>
          <w:color w:val="auto"/>
          <w:sz w:val="32"/>
          <w:szCs w:val="32"/>
          <w:rtl w:val="0"/>
          <w:lang w:val="en-US" w:eastAsia="zh-CN"/>
        </w:rPr>
        <w:t>实施增花添彩、夜景亮化等“微改造”工程，打造一批精致“微空间”</w:t>
      </w:r>
      <w:r>
        <w:rPr>
          <w:rFonts w:hint="eastAsia" w:ascii="仿宋_GB2312" w:hAnsi="仿宋_GB2312" w:eastAsia="仿宋_GB2312" w:cs="仿宋_GB2312"/>
          <w:color w:val="auto"/>
          <w:sz w:val="32"/>
          <w:szCs w:val="32"/>
          <w:rtl w:val="0"/>
          <w:lang w:val="en-US" w:eastAsia="zh-CN"/>
        </w:rPr>
        <w:t>，规划</w:t>
      </w:r>
      <w:r>
        <w:rPr>
          <w:rFonts w:hint="default" w:ascii="仿宋_GB2312" w:hAnsi="仿宋_GB2312" w:eastAsia="仿宋_GB2312" w:cs="仿宋_GB2312"/>
          <w:color w:val="auto"/>
          <w:sz w:val="32"/>
          <w:szCs w:val="32"/>
          <w:rtl w:val="0"/>
          <w:lang w:val="en-US" w:eastAsia="zh-CN"/>
        </w:rPr>
        <w:t>建设口袋公园10处、公厕12处</w:t>
      </w:r>
      <w:r>
        <w:rPr>
          <w:rFonts w:hint="eastAsia" w:ascii="仿宋_GB2312" w:hAnsi="仿宋_GB2312" w:eastAsia="仿宋_GB2312" w:cs="仿宋_GB2312"/>
          <w:color w:val="auto"/>
          <w:sz w:val="32"/>
          <w:szCs w:val="32"/>
          <w:rtl w:val="0"/>
          <w:lang w:val="en-US" w:eastAsia="zh-CN"/>
        </w:rPr>
        <w:t>，新增设城区停车位5000个以上。启用市档案馆和市民休闲中心</w:t>
      </w:r>
      <w:r>
        <w:rPr>
          <w:rFonts w:hint="default" w:ascii="仿宋_GB2312" w:hAnsi="仿宋_GB2312" w:eastAsia="仿宋_GB2312" w:cs="仿宋_GB2312"/>
          <w:color w:val="auto"/>
          <w:sz w:val="32"/>
          <w:szCs w:val="32"/>
          <w:rtl w:val="0"/>
          <w:lang w:val="en-US" w:eastAsia="zh-CN"/>
        </w:rPr>
        <w:t>。全面实施路热水气四网建设</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完成云门山路等道路雨污分流</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新建改造燃气管网184公里</w:t>
      </w:r>
      <w:r>
        <w:rPr>
          <w:rFonts w:hint="eastAsia" w:ascii="仿宋_GB2312" w:hAnsi="仿宋_GB2312" w:eastAsia="仿宋_GB2312" w:cs="仿宋_GB2312"/>
          <w:color w:val="auto"/>
          <w:sz w:val="32"/>
          <w:szCs w:val="32"/>
          <w:rtl w:val="0"/>
          <w:lang w:val="en-US" w:eastAsia="zh-CN"/>
        </w:rPr>
        <w:t>。建设新能源供热中心2处，完成13000户农村清洁取暖改造，</w:t>
      </w:r>
      <w:r>
        <w:rPr>
          <w:rFonts w:hint="default" w:ascii="仿宋_GB2312" w:hAnsi="仿宋_GB2312" w:eastAsia="仿宋_GB2312" w:cs="仿宋_GB2312"/>
          <w:color w:val="auto"/>
          <w:sz w:val="32"/>
          <w:szCs w:val="32"/>
          <w:rtl w:val="0"/>
          <w:lang w:val="en-US" w:eastAsia="zh-CN"/>
        </w:rPr>
        <w:t>完成城区供暖管网串联</w:t>
      </w:r>
      <w:r>
        <w:rPr>
          <w:rFonts w:hint="eastAsia" w:ascii="仿宋_GB2312" w:hAnsi="仿宋_GB2312" w:eastAsia="仿宋_GB2312" w:cs="仿宋_GB2312"/>
          <w:color w:val="auto"/>
          <w:sz w:val="32"/>
          <w:szCs w:val="32"/>
          <w:rtl w:val="0"/>
          <w:lang w:val="en-US" w:eastAsia="zh-CN"/>
        </w:rPr>
        <w:t>。</w:t>
      </w:r>
      <w:r>
        <w:rPr>
          <w:rFonts w:hint="default" w:ascii="仿宋_GB2312" w:hAnsi="仿宋_GB2312" w:eastAsia="仿宋_GB2312" w:cs="仿宋_GB2312"/>
          <w:color w:val="auto"/>
          <w:sz w:val="32"/>
          <w:szCs w:val="32"/>
          <w:rtl w:val="0"/>
          <w:lang w:val="en-US" w:eastAsia="zh-CN"/>
        </w:rPr>
        <w:t>推进老旧小区提升改造，完成1184套棚户区安置房交付使用。全域推进海绵城市建设，完成云门山路等道路雨污分流。</w:t>
      </w:r>
      <w:r>
        <w:rPr>
          <w:rFonts w:hint="eastAsia" w:ascii="仿宋_GB2312" w:hAnsi="仿宋_GB2312" w:eastAsia="仿宋_GB2312" w:cs="仿宋_GB2312"/>
          <w:color w:val="auto"/>
          <w:sz w:val="32"/>
          <w:szCs w:val="32"/>
          <w:rtl w:val="0"/>
          <w:lang w:val="en-US" w:eastAsia="zh-CN"/>
        </w:rPr>
        <w:t>配合搞好东青高速等征迁建设。</w:t>
      </w:r>
      <w:r>
        <w:rPr>
          <w:rFonts w:hint="default" w:ascii="仿宋_GB2312" w:hAnsi="仿宋_GB2312" w:eastAsia="仿宋_GB2312" w:cs="仿宋_GB2312"/>
          <w:color w:val="auto"/>
          <w:sz w:val="32"/>
          <w:szCs w:val="32"/>
          <w:rtl w:val="0"/>
          <w:lang w:val="en-US" w:eastAsia="zh-CN"/>
        </w:rPr>
        <w:t>全面提高电力保障能力</w:t>
      </w:r>
      <w:r>
        <w:rPr>
          <w:rFonts w:hint="eastAsia" w:ascii="仿宋_GB2312" w:hAnsi="仿宋_GB2312" w:eastAsia="仿宋_GB2312" w:cs="仿宋_GB2312"/>
          <w:color w:val="auto"/>
          <w:sz w:val="32"/>
          <w:szCs w:val="32"/>
          <w:rtl w:val="0"/>
          <w:lang w:val="en-US" w:eastAsia="zh-CN"/>
        </w:rPr>
        <w:t>，新建（扩建）3处110千伏变电站。构建“一中心五体系”的新型智慧城市建设青州市模式。实施非遗设施建设“113”工程。高规格办好中国青州书画年会、花博会、中国青州非遗美食周。持续完善公共文化服务体系，开展文化惠民演出1000场，为200个村（社区）配备文化设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五</w:t>
      </w: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持续</w:t>
      </w:r>
      <w:r>
        <w:rPr>
          <w:rFonts w:hint="default" w:ascii="Times New Roman" w:hAnsi="Times New Roman" w:eastAsia="楷体_GB2312" w:cs="Times New Roman"/>
          <w:sz w:val="32"/>
          <w:szCs w:val="32"/>
          <w:lang w:val="en-US" w:eastAsia="zh-CN"/>
        </w:rPr>
        <w:t>推进改革创新</w:t>
      </w:r>
      <w:r>
        <w:rPr>
          <w:rFonts w:hint="eastAsia" w:ascii="Times New Roman" w:hAnsi="Times New Roman" w:eastAsia="楷体_GB2312" w:cs="Times New Roman"/>
          <w:sz w:val="32"/>
          <w:szCs w:val="32"/>
          <w:lang w:val="en-US" w:eastAsia="zh-CN"/>
        </w:rPr>
        <w:t>。</w:t>
      </w:r>
      <w:r>
        <w:rPr>
          <w:rFonts w:hint="eastAsia" w:ascii="仿宋_GB2312" w:hAnsi="仿宋_GB2312" w:eastAsia="仿宋_GB2312" w:cs="仿宋_GB2312"/>
          <w:color w:val="auto"/>
          <w:sz w:val="32"/>
          <w:szCs w:val="32"/>
          <w:rtl w:val="0"/>
          <w:lang w:val="en-US" w:eastAsia="zh-CN"/>
        </w:rPr>
        <w:t>加快产学研深度融合，强化企业创新主体地位。新增各类创新平台5个以上，列入上级创新计划项目10个以上。联合高校院所建设科研合作平台8个以上。科技型中小企业入库250家以上，新增高新技术企业10家以上。高价值发明专利授权量突破150件，每万人发明专利达到8件。认真落实减税降费等惠企政策，让符合条件的企业“免申即享”。深入推进“四减一优”审批服务改革，扎实开展工程领域改革，证照联办事项达到53项，打造“全程包靠+问题直办”服务品牌。建设跨境电商产业园和外贸综合服务平台，力争对外贸易增长18%以上，实际到账外资1.1亿美元以上。组织重大项目集中开工活动，扎实推进中化弘润45万吨聚丙烯等省市级重大重点项目建设，推动200余个县级重大重点项目落实落地。精准双招双引，落户项目40个以上，到位资金120亿元以上。强化高端人才引育，引进硕士以上人才300人以上。持续巩固“诚信青州”建设成果。完善开办企业“一窗通”，实现“一链办理”，全程电子化登记率达到98%，坚决打击各类损害营商环境的行为，依法保护企业产权和企业家权益，全力构建“政府搭台、企业唱戏”的亲清政商关系。</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0" w:lineRule="exact"/>
        <w:ind w:left="0" w:leftChars="0" w:firstLine="640" w:firstLineChars="200"/>
        <w:jc w:val="both"/>
        <w:textAlignment w:val="auto"/>
        <w:rPr>
          <w:rFonts w:hint="eastAsia" w:ascii="仿宋_GB2312" w:hAnsi="仿宋_GB2312" w:eastAsia="仿宋_GB2312" w:cs="仿宋_GB2312"/>
          <w:color w:val="auto"/>
          <w:sz w:val="32"/>
          <w:szCs w:val="32"/>
          <w:rtl w:val="0"/>
          <w:lang w:val="en-US" w:eastAsia="zh-CN"/>
        </w:rPr>
      </w:pPr>
      <w:r>
        <w:rPr>
          <w:rFonts w:hint="eastAsia" w:ascii="Times New Roman" w:hAnsi="Times New Roman" w:eastAsia="楷体_GB2312" w:cs="Times New Roman"/>
          <w:sz w:val="32"/>
          <w:szCs w:val="32"/>
          <w:lang w:val="en-US" w:eastAsia="zh-CN"/>
        </w:rPr>
        <w:t>（六）进一步</w:t>
      </w:r>
      <w:r>
        <w:rPr>
          <w:rFonts w:hint="eastAsia" w:ascii="楷体_GB2312" w:hAnsi="楷体_GB2312" w:eastAsia="楷体_GB2312" w:cs="楷体_GB2312"/>
          <w:color w:val="auto"/>
          <w:sz w:val="32"/>
          <w:szCs w:val="32"/>
          <w:lang w:val="en-US" w:eastAsia="zh-CN"/>
        </w:rPr>
        <w:t>筑牢安全底线。</w:t>
      </w:r>
      <w:r>
        <w:rPr>
          <w:rFonts w:hint="eastAsia" w:ascii="仿宋_GB2312" w:hAnsi="仿宋_GB2312" w:eastAsia="仿宋_GB2312" w:cs="仿宋_GB2312"/>
          <w:color w:val="auto"/>
          <w:sz w:val="32"/>
          <w:szCs w:val="32"/>
          <w:rtl w:val="0"/>
          <w:lang w:val="zh-CN" w:eastAsia="zh-CN"/>
        </w:rPr>
        <w:t>深入推进“金安工程”，</w:t>
      </w:r>
      <w:r>
        <w:rPr>
          <w:rFonts w:hint="eastAsia" w:ascii="仿宋_GB2312" w:hAnsi="仿宋_GB2312" w:eastAsia="仿宋_GB2312" w:cs="仿宋_GB2312"/>
          <w:color w:val="auto"/>
          <w:sz w:val="32"/>
          <w:szCs w:val="32"/>
          <w:rtl w:val="0"/>
          <w:lang w:val="en-US" w:eastAsia="zh-CN"/>
        </w:rPr>
        <w:t>运用市场化手段化解金融风险，推动企业并购重组和不良资产处置，确保不良贷款率持续低于潍坊平均水平。深入推进安全生产专项整治三年行动，强化突发事件监测预警和应急处置，严防各类事故发生。全面贯彻总体国家安全观，完善多元化矛盾纠纷解决机制，争创全国信访工作示范县。做好物资储备和应急演练。持续抓好疫苗接种和核酸检测，坚决筑牢疫情防线。加强食药监管力度，保障人民群众“舌尖上的安全”。常态化开展扫黑除恶，持续开展打击治理电信网络诈骗等行动。健全道路交通事故预防体系，坚决守护人民幸福安宁。严格落实生态保护、永久基本农田、城镇开发“三条红线”，实施“减排、抑尘、压煤、治车、控秸”五大工程，不断改善空气质量，统筹山水林田湖系统治理，开展地下水超采综合治理，推进水生态和废弃矿山治理，修复退化林2000亩以上。持续保障粮食与能源安全，围绕实现碳达峰、碳中和，强化能源消费总量和强度“双控”，有序推进整县分布式光伏开发、朱崖抽水蓄能电站项目建设。建设2.02万吨储粮仓库1处，轮换储备粮12020吨、储备油260吨。</w:t>
      </w:r>
    </w:p>
    <w:p>
      <w:pPr>
        <w:keepNext w:val="0"/>
        <w:keepLines w:val="0"/>
        <w:pageBreakBefore w:val="0"/>
        <w:widowControl w:val="0"/>
        <w:kinsoku/>
        <w:wordWrap/>
        <w:overflowPunct/>
        <w:topLinePunct w:val="0"/>
        <w:autoSpaceDE/>
        <w:autoSpaceDN/>
        <w:bidi w:val="0"/>
        <w:spacing w:line="570" w:lineRule="exact"/>
        <w:ind w:firstLine="640" w:firstLineChars="200"/>
        <w:jc w:val="both"/>
        <w:textAlignment w:val="auto"/>
        <w:rPr>
          <w:rFonts w:hint="eastAsia" w:ascii="仿宋_GB2312" w:hAnsi="仿宋_GB2312" w:eastAsia="仿宋_GB2312" w:cs="仿宋_GB2312"/>
          <w:color w:val="auto"/>
          <w:sz w:val="32"/>
          <w:szCs w:val="32"/>
          <w:rtl w:val="0"/>
          <w:lang w:val="zh-CN" w:eastAsia="zh-CN"/>
        </w:rPr>
      </w:pPr>
      <w:r>
        <w:rPr>
          <w:rFonts w:hint="eastAsia" w:ascii="Times New Roman" w:hAnsi="Times New Roman" w:eastAsia="楷体_GB2312" w:cs="Times New Roman"/>
          <w:sz w:val="32"/>
          <w:szCs w:val="32"/>
          <w:lang w:val="en-US" w:eastAsia="zh-CN"/>
        </w:rPr>
        <w:t>（七）推进社会事业全面发展。</w:t>
      </w:r>
      <w:r>
        <w:rPr>
          <w:rFonts w:hint="eastAsia" w:ascii="仿宋_GB2312" w:hAnsi="仿宋_GB2312" w:eastAsia="仿宋_GB2312" w:cs="仿宋_GB2312"/>
          <w:color w:val="auto"/>
          <w:sz w:val="32"/>
          <w:szCs w:val="32"/>
          <w:rtl w:val="0"/>
          <w:lang w:val="en-US" w:eastAsia="zh-CN"/>
        </w:rPr>
        <w:t>大力发展社会事业，切实办好10件民生实事。强化就业优先导向，实现城镇新增就业9800人以上。开展根治欠薪行动，加强农民工工资支付保障信息化监管。推进教育优质均衡发展，新建、改扩建中小学、幼儿园14处，完善幼儿园配套设施130处，创新落实义务教育双减行动，加强专业化教师队伍建设。推动疾控中心标准化建设，争创省级卫生村150个。健全完善社会救助体系，加快推进全面参保。为缴费困难群体代缴居民基本养老保险费，为符合条件的残疾人购买意外伤害保险、发放助学金、实施康复救助。推进镇村公益性公墓建设，建设市级社工总站1处、镇级社会工作服务站13处。加强“双拥”共建，做好退役军人安置和权益保障工作。全面加强民族、宗教、港澳台侨、外事、史志档案、民防人防、民兵预备役、妇女儿童、心理健康、物价稳控、体育、统计、防震减灾、消防、气象、知识产权保护等各项事业，促进社会和谐稳定。</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文星标宋">
    <w:altName w:val="Arial Unicode MS"/>
    <w:panose1 w:val="0201060900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1E0E14"/>
    <w:rsid w:val="341E0E14"/>
    <w:rsid w:val="6D0109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6430</Words>
  <Characters>6690</Characters>
  <Lines>0</Lines>
  <Paragraphs>0</Paragraphs>
  <TotalTime>0</TotalTime>
  <ScaleCrop>false</ScaleCrop>
  <LinksUpToDate>false</LinksUpToDate>
  <CharactersWithSpaces>6691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2022-08-10T02:10:00Z</dcterms:created>
  <dc:creator>Lenovo</dc:creator>
  <cp:lastModifiedBy>网源云服宫丽娜</cp:lastModifiedBy>
  <dcterms:modified xsi:type="dcterms:W3CDTF">2022-11-30T09:38:16Z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374D77A8083D4CD2BDA332CF17B7188D</vt:lpwstr>
  </property>
</Properties>
</file>